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446B2A" w:rsidRPr="00446B2A" w:rsidTr="00446B2A">
        <w:trPr>
          <w:trHeight w:val="844"/>
        </w:trPr>
        <w:tc>
          <w:tcPr>
            <w:tcW w:w="4397" w:type="dxa"/>
            <w:hideMark/>
          </w:tcPr>
          <w:p w:rsidR="00446B2A" w:rsidRPr="00446B2A" w:rsidRDefault="00446B2A" w:rsidP="00446B2A">
            <w:pPr>
              <w:spacing w:before="23" w:after="23" w:line="256" w:lineRule="auto"/>
              <w:contextualSpacing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ИСПОЛНИТЕЛЬНЫЙ КОМИТЕТ</w:t>
            </w:r>
          </w:p>
          <w:p w:rsidR="00446B2A" w:rsidRPr="00446B2A" w:rsidRDefault="00446B2A" w:rsidP="00446B2A">
            <w:pPr>
              <w:spacing w:before="23" w:after="23" w:line="256" w:lineRule="auto"/>
              <w:contextualSpacing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noProof/>
                <w:sz w:val="28"/>
                <w:szCs w:val="28"/>
                <w:lang w:val="tt-RU" w:eastAsia="en-US"/>
              </w:rPr>
              <w:t>ШАЛТИН</w:t>
            </w:r>
            <w:r w:rsidRPr="00446B2A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СКОГО</w:t>
            </w:r>
          </w:p>
          <w:p w:rsidR="00446B2A" w:rsidRPr="00446B2A" w:rsidRDefault="00446B2A" w:rsidP="00446B2A">
            <w:pPr>
              <w:spacing w:before="23" w:after="23" w:line="256" w:lineRule="auto"/>
              <w:contextualSpacing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СЕЛЬСКОГО ПОСЕЛЕНИЯ</w:t>
            </w:r>
          </w:p>
          <w:p w:rsidR="00446B2A" w:rsidRPr="00446B2A" w:rsidRDefault="00446B2A" w:rsidP="00446B2A">
            <w:pPr>
              <w:spacing w:before="23" w:after="23" w:line="25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B2A">
              <w:rPr>
                <w:rFonts w:ascii="Times New Roman" w:hAnsi="Times New Roman"/>
                <w:sz w:val="28"/>
                <w:szCs w:val="28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46B2A" w:rsidRPr="00446B2A" w:rsidRDefault="00446B2A" w:rsidP="00446B2A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6B2A" w:rsidRPr="00446B2A" w:rsidRDefault="00446B2A" w:rsidP="00446B2A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6B2A" w:rsidRPr="00446B2A" w:rsidRDefault="00446B2A" w:rsidP="00446B2A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6B2A" w:rsidRPr="00446B2A" w:rsidRDefault="00446B2A" w:rsidP="00446B2A">
            <w:pPr>
              <w:spacing w:after="0" w:line="264" w:lineRule="auto"/>
              <w:jc w:val="center"/>
              <w:rPr>
                <w:rFonts w:ascii="Times New Roman" w:hAnsi="Times New Roman"/>
                <w:sz w:val="4"/>
                <w:szCs w:val="4"/>
                <w:lang w:eastAsia="en-US"/>
              </w:rPr>
            </w:pPr>
          </w:p>
        </w:tc>
        <w:tc>
          <w:tcPr>
            <w:tcW w:w="4268" w:type="dxa"/>
            <w:hideMark/>
          </w:tcPr>
          <w:p w:rsidR="00446B2A" w:rsidRPr="00446B2A" w:rsidRDefault="00446B2A" w:rsidP="00446B2A">
            <w:pPr>
              <w:keepNext/>
              <w:spacing w:before="23" w:after="23" w:line="256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sz w:val="28"/>
                <w:szCs w:val="28"/>
                <w:lang w:eastAsia="en-US"/>
              </w:rPr>
              <w:t>ТАТАРСТАН РЕСПУБЛИКАСЫ</w:t>
            </w:r>
            <w:r w:rsidRPr="00446B2A">
              <w:rPr>
                <w:rFonts w:ascii="Times New Roman" w:hAnsi="Times New Roman" w:hint="cs"/>
                <w:sz w:val="28"/>
                <w:szCs w:val="28"/>
                <w:lang w:val="ar-SA" w:eastAsia="en-US"/>
              </w:rPr>
              <w:t xml:space="preserve"> БАУЛЫ</w:t>
            </w:r>
            <w:r w:rsidRPr="00446B2A">
              <w:rPr>
                <w:rFonts w:ascii="Times New Roman" w:hAnsi="Times New Roman" w:hint="cs"/>
                <w:sz w:val="28"/>
                <w:szCs w:val="28"/>
                <w:lang w:eastAsia="en-US"/>
              </w:rPr>
              <w:t xml:space="preserve"> </w:t>
            </w:r>
          </w:p>
          <w:p w:rsidR="00446B2A" w:rsidRPr="00446B2A" w:rsidRDefault="00446B2A" w:rsidP="00446B2A">
            <w:pPr>
              <w:keepNext/>
              <w:spacing w:before="23" w:after="23" w:line="256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sz w:val="28"/>
                <w:szCs w:val="28"/>
                <w:lang w:val="tt-RU" w:eastAsia="en-US"/>
              </w:rPr>
              <w:t>МУНИ</w:t>
            </w:r>
            <w:r w:rsidRPr="00446B2A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446B2A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ИПАЛЬ </w:t>
            </w:r>
            <w:r w:rsidRPr="00446B2A">
              <w:rPr>
                <w:rFonts w:ascii="Times New Roman" w:hAnsi="Times New Roman"/>
                <w:sz w:val="28"/>
                <w:szCs w:val="28"/>
                <w:lang w:eastAsia="en-US"/>
              </w:rPr>
              <w:t>РАЙОНЫ</w:t>
            </w:r>
          </w:p>
          <w:p w:rsidR="00446B2A" w:rsidRPr="00446B2A" w:rsidRDefault="00446B2A" w:rsidP="00446B2A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446B2A">
              <w:rPr>
                <w:rFonts w:ascii="Times New Roman" w:hAnsi="Times New Roman"/>
                <w:sz w:val="28"/>
                <w:szCs w:val="28"/>
                <w:lang w:val="tt-RU" w:eastAsia="en-US"/>
              </w:rPr>
              <w:t>ШАЛТЫ</w:t>
            </w:r>
          </w:p>
          <w:p w:rsidR="00446B2A" w:rsidRPr="00446B2A" w:rsidRDefault="00446B2A" w:rsidP="00446B2A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АВЫЛ </w:t>
            </w:r>
            <w:r w:rsidRPr="00446B2A">
              <w:rPr>
                <w:rFonts w:ascii="Times New Roman" w:hAnsi="Times New Roman"/>
                <w:sz w:val="28"/>
                <w:szCs w:val="28"/>
                <w:lang w:val="tt-RU" w:eastAsia="en-US"/>
              </w:rPr>
              <w:t>Җ</w:t>
            </w:r>
            <w:r w:rsidRPr="00446B2A">
              <w:rPr>
                <w:rFonts w:ascii="Times New Roman" w:hAnsi="Times New Roman"/>
                <w:sz w:val="28"/>
                <w:szCs w:val="28"/>
                <w:lang w:eastAsia="en-US"/>
              </w:rPr>
              <w:t>ИРЛЕГЕ</w:t>
            </w:r>
          </w:p>
          <w:p w:rsidR="00446B2A" w:rsidRPr="00446B2A" w:rsidRDefault="00446B2A" w:rsidP="00446B2A">
            <w:pPr>
              <w:spacing w:before="23" w:after="23" w:line="256" w:lineRule="auto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446B2A" w:rsidRPr="00446B2A" w:rsidTr="00446B2A">
        <w:trPr>
          <w:trHeight w:val="361"/>
        </w:trPr>
        <w:tc>
          <w:tcPr>
            <w:tcW w:w="9765" w:type="dxa"/>
            <w:gridSpan w:val="4"/>
          </w:tcPr>
          <w:p w:rsidR="00446B2A" w:rsidRPr="00446B2A" w:rsidRDefault="00446B2A" w:rsidP="00446B2A">
            <w:pPr>
              <w:pBdr>
                <w:bottom w:val="single" w:sz="18" w:space="1" w:color="auto"/>
                <w:between w:val="single" w:sz="2" w:space="1" w:color="auto"/>
              </w:pBdr>
              <w:spacing w:after="0" w:line="25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446B2A" w:rsidRPr="00446B2A" w:rsidRDefault="00446B2A" w:rsidP="00446B2A">
            <w:pPr>
              <w:spacing w:after="0" w:line="256" w:lineRule="auto"/>
              <w:jc w:val="center"/>
              <w:rPr>
                <w:rFonts w:ascii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446B2A" w:rsidRPr="00446B2A" w:rsidTr="00446B2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446B2A" w:rsidRPr="00446B2A" w:rsidRDefault="00446B2A" w:rsidP="00446B2A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446B2A" w:rsidRPr="00446B2A" w:rsidRDefault="00446B2A" w:rsidP="00446B2A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6B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</w:t>
            </w:r>
            <w:r w:rsidRPr="00446B2A"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  <w:t xml:space="preserve"> </w:t>
            </w:r>
            <w:r w:rsidRPr="00446B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КАРАР</w:t>
            </w:r>
          </w:p>
        </w:tc>
      </w:tr>
    </w:tbl>
    <w:p w:rsidR="00446B2A" w:rsidRDefault="00446B2A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446B2A" w:rsidRDefault="00446B2A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437DDB" w:rsidRPr="00437DDB" w:rsidRDefault="00437DDB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p w:rsidR="00446B2A" w:rsidRDefault="00446B2A" w:rsidP="00446B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B2A" w:rsidRDefault="00437DDB" w:rsidP="00446B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комитет </w:t>
      </w:r>
      <w:r w:rsidR="00446B2A">
        <w:rPr>
          <w:rFonts w:ascii="Times New Roman" w:hAnsi="Times New Roman"/>
          <w:sz w:val="28"/>
          <w:szCs w:val="28"/>
        </w:rPr>
        <w:t>Шалтинского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446B2A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ПОСТАНОВЛЯЕТ:</w:t>
      </w:r>
    </w:p>
    <w:p w:rsidR="00437DDB" w:rsidRPr="00437DDB" w:rsidRDefault="00437DDB" w:rsidP="00446B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- постановление Исполнительного комитета</w:t>
      </w:r>
      <w:r w:rsidR="00446B2A">
        <w:rPr>
          <w:rFonts w:ascii="Times New Roman" w:hAnsi="Times New Roman"/>
          <w:sz w:val="28"/>
          <w:szCs w:val="28"/>
        </w:rPr>
        <w:t xml:space="preserve"> Шалтинского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446B2A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.08.2021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446B2A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«Об утверждении </w:t>
      </w:r>
      <w:r w:rsidR="00446B2A">
        <w:rPr>
          <w:rFonts w:ascii="Times New Roman" w:hAnsi="Times New Roman"/>
          <w:sz w:val="28"/>
          <w:szCs w:val="28"/>
        </w:rPr>
        <w:t>а</w:t>
      </w:r>
      <w:r w:rsidRPr="00437DDB">
        <w:rPr>
          <w:rFonts w:ascii="Times New Roman" w:hAnsi="Times New Roman"/>
          <w:sz w:val="28"/>
          <w:szCs w:val="28"/>
        </w:rPr>
        <w:t>дминистративн</w:t>
      </w:r>
      <w:r w:rsidR="00446B2A">
        <w:rPr>
          <w:rFonts w:ascii="Times New Roman" w:hAnsi="Times New Roman"/>
          <w:sz w:val="28"/>
          <w:szCs w:val="28"/>
        </w:rPr>
        <w:t>ого</w:t>
      </w:r>
      <w:r w:rsidRPr="00437DDB">
        <w:rPr>
          <w:rFonts w:ascii="Times New Roman" w:hAnsi="Times New Roman"/>
          <w:sz w:val="28"/>
          <w:szCs w:val="28"/>
        </w:rPr>
        <w:t xml:space="preserve"> регламент</w:t>
      </w:r>
      <w:r w:rsidR="00446B2A">
        <w:rPr>
          <w:rFonts w:ascii="Times New Roman" w:hAnsi="Times New Roman"/>
          <w:sz w:val="28"/>
          <w:szCs w:val="28"/>
        </w:rPr>
        <w:t>а</w:t>
      </w:r>
      <w:r w:rsidRPr="00437DDB">
        <w:rPr>
          <w:rFonts w:ascii="Times New Roman" w:hAnsi="Times New Roman"/>
          <w:sz w:val="28"/>
          <w:szCs w:val="28"/>
        </w:rPr>
        <w:t xml:space="preserve"> предоставления муниципальн</w:t>
      </w:r>
      <w:r w:rsidR="00446B2A">
        <w:rPr>
          <w:rFonts w:ascii="Times New Roman" w:hAnsi="Times New Roman"/>
          <w:sz w:val="28"/>
          <w:szCs w:val="28"/>
        </w:rPr>
        <w:t>ой</w:t>
      </w:r>
      <w:r w:rsidRPr="00437DDB">
        <w:rPr>
          <w:rFonts w:ascii="Times New Roman" w:hAnsi="Times New Roman"/>
          <w:sz w:val="28"/>
          <w:szCs w:val="28"/>
        </w:rPr>
        <w:t xml:space="preserve"> услуг</w:t>
      </w:r>
      <w:r w:rsidR="00446B2A">
        <w:rPr>
          <w:rFonts w:ascii="Times New Roman" w:hAnsi="Times New Roman"/>
          <w:sz w:val="28"/>
          <w:szCs w:val="28"/>
        </w:rPr>
        <w:t>и по присвоению, изменению и аннулированию адресов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446B2A">
        <w:rPr>
          <w:rFonts w:ascii="Times New Roman" w:hAnsi="Times New Roman"/>
          <w:sz w:val="28"/>
          <w:szCs w:val="28"/>
        </w:rPr>
        <w:t xml:space="preserve">Шалтинского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446B2A">
        <w:rPr>
          <w:rFonts w:ascii="Times New Roman" w:hAnsi="Times New Roman"/>
          <w:sz w:val="28"/>
          <w:szCs w:val="28"/>
        </w:rPr>
        <w:t>22</w:t>
      </w:r>
      <w:r w:rsidRPr="00437DDB">
        <w:rPr>
          <w:rFonts w:ascii="Times New Roman" w:hAnsi="Times New Roman"/>
          <w:sz w:val="28"/>
          <w:szCs w:val="28"/>
        </w:rPr>
        <w:t>.09.20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446B2A">
        <w:rPr>
          <w:rFonts w:ascii="Times New Roman" w:hAnsi="Times New Roman"/>
          <w:sz w:val="28"/>
          <w:szCs w:val="28"/>
        </w:rPr>
        <w:t>11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446B2A">
        <w:rPr>
          <w:rFonts w:ascii="Times New Roman" w:hAnsi="Times New Roman"/>
          <w:sz w:val="28"/>
          <w:szCs w:val="28"/>
        </w:rPr>
        <w:t>в постановление Исполнительного комитета Шалтинского сельского поселения Бавлинского муниципального района Республики Татарстан от 17.08.2021 № 7 «Об утверждении</w:t>
      </w:r>
      <w:r w:rsidRPr="00437DDB">
        <w:rPr>
          <w:rFonts w:ascii="Times New Roman" w:hAnsi="Times New Roman"/>
          <w:sz w:val="28"/>
          <w:szCs w:val="28"/>
        </w:rPr>
        <w:t xml:space="preserve"> </w:t>
      </w:r>
      <w:r w:rsidR="00446B2A">
        <w:rPr>
          <w:rFonts w:ascii="Times New Roman" w:hAnsi="Times New Roman"/>
          <w:sz w:val="28"/>
          <w:szCs w:val="28"/>
        </w:rPr>
        <w:t>а</w:t>
      </w:r>
      <w:r w:rsidRPr="00437DDB">
        <w:rPr>
          <w:rFonts w:ascii="Times New Roman" w:hAnsi="Times New Roman"/>
          <w:sz w:val="28"/>
          <w:szCs w:val="28"/>
        </w:rPr>
        <w:t>дминистративн</w:t>
      </w:r>
      <w:r w:rsidR="00446B2A">
        <w:rPr>
          <w:rFonts w:ascii="Times New Roman" w:hAnsi="Times New Roman"/>
          <w:sz w:val="28"/>
          <w:szCs w:val="28"/>
        </w:rPr>
        <w:t>ого</w:t>
      </w:r>
      <w:r w:rsidRPr="00437DDB">
        <w:rPr>
          <w:rFonts w:ascii="Times New Roman" w:hAnsi="Times New Roman"/>
          <w:sz w:val="28"/>
          <w:szCs w:val="28"/>
        </w:rPr>
        <w:t xml:space="preserve"> регламент</w:t>
      </w:r>
      <w:r w:rsidR="00446B2A">
        <w:rPr>
          <w:rFonts w:ascii="Times New Roman" w:hAnsi="Times New Roman"/>
          <w:sz w:val="28"/>
          <w:szCs w:val="28"/>
        </w:rPr>
        <w:t>а по</w:t>
      </w:r>
      <w:r w:rsidRPr="00437DDB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lastRenderedPageBreak/>
        <w:t>предоставлени</w:t>
      </w:r>
      <w:r w:rsidR="00446B2A">
        <w:rPr>
          <w:rFonts w:ascii="Times New Roman" w:hAnsi="Times New Roman"/>
          <w:sz w:val="28"/>
          <w:szCs w:val="28"/>
        </w:rPr>
        <w:t>ю</w:t>
      </w:r>
      <w:r w:rsidRPr="00437DDB">
        <w:rPr>
          <w:rFonts w:ascii="Times New Roman" w:hAnsi="Times New Roman"/>
          <w:sz w:val="28"/>
          <w:szCs w:val="28"/>
        </w:rPr>
        <w:t xml:space="preserve"> муниципальной услуги по присвоению, изменению и аннулированию адресов»;</w:t>
      </w:r>
    </w:p>
    <w:p w:rsidR="00F16991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446B2A">
        <w:rPr>
          <w:rFonts w:ascii="Times New Roman" w:hAnsi="Times New Roman"/>
          <w:sz w:val="28"/>
          <w:szCs w:val="28"/>
        </w:rPr>
        <w:t>Шалтинского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446B2A">
        <w:rPr>
          <w:rFonts w:ascii="Times New Roman" w:hAnsi="Times New Roman"/>
          <w:sz w:val="28"/>
          <w:szCs w:val="28"/>
        </w:rPr>
        <w:t>25.</w:t>
      </w:r>
      <w:r w:rsidR="00F16991">
        <w:rPr>
          <w:rFonts w:ascii="Times New Roman" w:hAnsi="Times New Roman"/>
          <w:sz w:val="28"/>
          <w:szCs w:val="28"/>
        </w:rPr>
        <w:t>03.</w:t>
      </w:r>
      <w:r w:rsidRPr="00437DDB">
        <w:rPr>
          <w:rFonts w:ascii="Times New Roman" w:hAnsi="Times New Roman"/>
          <w:sz w:val="28"/>
          <w:szCs w:val="28"/>
        </w:rPr>
        <w:t>20</w:t>
      </w:r>
      <w:r w:rsidR="00F16991">
        <w:rPr>
          <w:rFonts w:ascii="Times New Roman" w:hAnsi="Times New Roman"/>
          <w:sz w:val="28"/>
          <w:szCs w:val="28"/>
        </w:rPr>
        <w:t>24 №</w:t>
      </w:r>
      <w:r w:rsidR="00446B2A">
        <w:rPr>
          <w:rFonts w:ascii="Times New Roman" w:hAnsi="Times New Roman"/>
          <w:sz w:val="28"/>
          <w:szCs w:val="28"/>
        </w:rPr>
        <w:t xml:space="preserve"> 2</w:t>
      </w:r>
      <w:r w:rsidRPr="00437DDB">
        <w:rPr>
          <w:rFonts w:ascii="Times New Roman" w:hAnsi="Times New Roman"/>
          <w:sz w:val="28"/>
          <w:szCs w:val="28"/>
        </w:rPr>
        <w:t xml:space="preserve"> </w:t>
      </w:r>
      <w:r w:rsidR="00446B2A" w:rsidRPr="00437DDB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446B2A">
        <w:rPr>
          <w:rFonts w:ascii="Times New Roman" w:hAnsi="Times New Roman"/>
          <w:sz w:val="28"/>
          <w:szCs w:val="28"/>
        </w:rPr>
        <w:t>в постановление Исполнительного комитета Шалтинского сельского поселения Бавлинского муниципального района Республики Татарстан от 17.08.2021 № 7 «Об утверждении</w:t>
      </w:r>
      <w:r w:rsidR="00446B2A" w:rsidRPr="00437DDB">
        <w:rPr>
          <w:rFonts w:ascii="Times New Roman" w:hAnsi="Times New Roman"/>
          <w:sz w:val="28"/>
          <w:szCs w:val="28"/>
        </w:rPr>
        <w:t xml:space="preserve"> </w:t>
      </w:r>
      <w:r w:rsidR="00446B2A">
        <w:rPr>
          <w:rFonts w:ascii="Times New Roman" w:hAnsi="Times New Roman"/>
          <w:sz w:val="28"/>
          <w:szCs w:val="28"/>
        </w:rPr>
        <w:t>а</w:t>
      </w:r>
      <w:r w:rsidR="00446B2A" w:rsidRPr="00437DDB">
        <w:rPr>
          <w:rFonts w:ascii="Times New Roman" w:hAnsi="Times New Roman"/>
          <w:sz w:val="28"/>
          <w:szCs w:val="28"/>
        </w:rPr>
        <w:t>дминистративн</w:t>
      </w:r>
      <w:r w:rsidR="00446B2A">
        <w:rPr>
          <w:rFonts w:ascii="Times New Roman" w:hAnsi="Times New Roman"/>
          <w:sz w:val="28"/>
          <w:szCs w:val="28"/>
        </w:rPr>
        <w:t>ого</w:t>
      </w:r>
      <w:r w:rsidR="00446B2A" w:rsidRPr="00437DDB">
        <w:rPr>
          <w:rFonts w:ascii="Times New Roman" w:hAnsi="Times New Roman"/>
          <w:sz w:val="28"/>
          <w:szCs w:val="28"/>
        </w:rPr>
        <w:t xml:space="preserve"> регламент</w:t>
      </w:r>
      <w:r w:rsidR="00446B2A">
        <w:rPr>
          <w:rFonts w:ascii="Times New Roman" w:hAnsi="Times New Roman"/>
          <w:sz w:val="28"/>
          <w:szCs w:val="28"/>
        </w:rPr>
        <w:t>а по</w:t>
      </w:r>
      <w:r w:rsidR="00446B2A" w:rsidRPr="00437DDB">
        <w:rPr>
          <w:rFonts w:ascii="Times New Roman" w:hAnsi="Times New Roman"/>
          <w:sz w:val="28"/>
          <w:szCs w:val="28"/>
        </w:rPr>
        <w:t xml:space="preserve"> предоставлени</w:t>
      </w:r>
      <w:r w:rsidR="00446B2A">
        <w:rPr>
          <w:rFonts w:ascii="Times New Roman" w:hAnsi="Times New Roman"/>
          <w:sz w:val="28"/>
          <w:szCs w:val="28"/>
        </w:rPr>
        <w:t>ю</w:t>
      </w:r>
      <w:r w:rsidR="00446B2A" w:rsidRPr="00437DDB">
        <w:rPr>
          <w:rFonts w:ascii="Times New Roman" w:hAnsi="Times New Roman"/>
          <w:sz w:val="28"/>
          <w:szCs w:val="28"/>
        </w:rPr>
        <w:t xml:space="preserve"> муниципальной услуги по присвоению, изменению и аннулированию адресов»</w:t>
      </w:r>
      <w:r w:rsidR="00446B2A">
        <w:rPr>
          <w:rFonts w:ascii="Times New Roman" w:hAnsi="Times New Roman"/>
          <w:sz w:val="28"/>
          <w:szCs w:val="28"/>
        </w:rPr>
        <w:t>;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446B2A">
        <w:rPr>
          <w:rFonts w:ascii="Times New Roman" w:hAnsi="Times New Roman"/>
          <w:sz w:val="28"/>
          <w:szCs w:val="28"/>
        </w:rPr>
        <w:t>Шалтинского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63008A">
        <w:rPr>
          <w:rFonts w:ascii="Times New Roman" w:hAnsi="Times New Roman"/>
          <w:sz w:val="28"/>
          <w:szCs w:val="28"/>
        </w:rPr>
        <w:t>10</w:t>
      </w:r>
      <w:r w:rsidR="00F16991">
        <w:rPr>
          <w:rFonts w:ascii="Times New Roman" w:hAnsi="Times New Roman"/>
          <w:sz w:val="28"/>
          <w:szCs w:val="28"/>
        </w:rPr>
        <w:t>.</w:t>
      </w:r>
      <w:r w:rsidR="0063008A">
        <w:rPr>
          <w:rFonts w:ascii="Times New Roman" w:hAnsi="Times New Roman"/>
          <w:sz w:val="28"/>
          <w:szCs w:val="28"/>
        </w:rPr>
        <w:t>1</w:t>
      </w:r>
      <w:r w:rsidR="00F16991">
        <w:rPr>
          <w:rFonts w:ascii="Times New Roman" w:hAnsi="Times New Roman"/>
          <w:sz w:val="28"/>
          <w:szCs w:val="28"/>
        </w:rPr>
        <w:t>0.</w:t>
      </w:r>
      <w:r w:rsidRPr="00437DDB">
        <w:rPr>
          <w:rFonts w:ascii="Times New Roman" w:hAnsi="Times New Roman"/>
          <w:sz w:val="28"/>
          <w:szCs w:val="28"/>
        </w:rPr>
        <w:t>202</w:t>
      </w:r>
      <w:r w:rsidR="0063008A">
        <w:rPr>
          <w:rFonts w:ascii="Times New Roman" w:hAnsi="Times New Roman"/>
          <w:sz w:val="28"/>
          <w:szCs w:val="28"/>
        </w:rPr>
        <w:t>4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63008A">
        <w:rPr>
          <w:rFonts w:ascii="Times New Roman" w:hAnsi="Times New Roman"/>
          <w:sz w:val="28"/>
          <w:szCs w:val="28"/>
        </w:rPr>
        <w:t>8</w:t>
      </w:r>
      <w:r w:rsidRPr="00437DDB">
        <w:rPr>
          <w:rFonts w:ascii="Times New Roman" w:hAnsi="Times New Roman"/>
          <w:sz w:val="28"/>
          <w:szCs w:val="28"/>
        </w:rPr>
        <w:t xml:space="preserve"> «</w:t>
      </w:r>
      <w:r w:rsidR="0063008A" w:rsidRPr="00747A7E">
        <w:rPr>
          <w:rFonts w:ascii="Times New Roman" w:hAnsi="Times New Roman"/>
          <w:sz w:val="28"/>
          <w:szCs w:val="28"/>
        </w:rPr>
        <w:t>О</w:t>
      </w:r>
      <w:r w:rsidR="0063008A" w:rsidRPr="009C5F47">
        <w:rPr>
          <w:rFonts w:ascii="Times New Roman" w:hAnsi="Times New Roman"/>
          <w:sz w:val="28"/>
          <w:szCs w:val="28"/>
        </w:rPr>
        <w:t xml:space="preserve"> </w:t>
      </w:r>
      <w:r w:rsidR="0063008A">
        <w:rPr>
          <w:rFonts w:ascii="Times New Roman" w:hAnsi="Times New Roman"/>
          <w:sz w:val="28"/>
          <w:szCs w:val="28"/>
        </w:rPr>
        <w:t xml:space="preserve">внесении изменений и дополнений в </w:t>
      </w:r>
      <w:r w:rsidR="0063008A" w:rsidRPr="001E0239">
        <w:rPr>
          <w:rFonts w:ascii="Times New Roman" w:hAnsi="Times New Roman"/>
          <w:sz w:val="28"/>
          <w:szCs w:val="28"/>
        </w:rPr>
        <w:t>Административн</w:t>
      </w:r>
      <w:r w:rsidR="0063008A">
        <w:rPr>
          <w:rFonts w:ascii="Times New Roman" w:hAnsi="Times New Roman"/>
          <w:sz w:val="28"/>
          <w:szCs w:val="28"/>
        </w:rPr>
        <w:t>ый</w:t>
      </w:r>
      <w:r w:rsidR="0063008A" w:rsidRPr="001E0239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 w:rsidR="0063008A">
        <w:rPr>
          <w:rFonts w:ascii="Times New Roman" w:hAnsi="Times New Roman"/>
          <w:sz w:val="28"/>
          <w:szCs w:val="28"/>
        </w:rPr>
        <w:t xml:space="preserve">, утвержденный постановлением Исполнительного комитета </w:t>
      </w:r>
      <w:r w:rsidR="0063008A">
        <w:rPr>
          <w:rFonts w:ascii="Times New Roman" w:hAnsi="Times New Roman"/>
          <w:sz w:val="28"/>
          <w:szCs w:val="28"/>
          <w:lang w:val="tt-RU"/>
        </w:rPr>
        <w:t xml:space="preserve">Шалтинского </w:t>
      </w:r>
      <w:r w:rsidR="0063008A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63008A">
        <w:rPr>
          <w:rFonts w:ascii="Times New Roman" w:hAnsi="Times New Roman"/>
          <w:sz w:val="28"/>
          <w:szCs w:val="28"/>
          <w:lang w:val="tt-RU"/>
        </w:rPr>
        <w:t>28</w:t>
      </w:r>
      <w:r w:rsidR="0063008A">
        <w:rPr>
          <w:rFonts w:ascii="Times New Roman" w:hAnsi="Times New Roman"/>
          <w:sz w:val="28"/>
          <w:szCs w:val="28"/>
        </w:rPr>
        <w:t>.1</w:t>
      </w:r>
      <w:r w:rsidR="0063008A">
        <w:rPr>
          <w:rFonts w:ascii="Times New Roman" w:hAnsi="Times New Roman"/>
          <w:sz w:val="28"/>
          <w:szCs w:val="28"/>
          <w:lang w:val="tt-RU"/>
        </w:rPr>
        <w:t>0</w:t>
      </w:r>
      <w:r w:rsidR="0063008A">
        <w:rPr>
          <w:rFonts w:ascii="Times New Roman" w:hAnsi="Times New Roman"/>
          <w:sz w:val="28"/>
          <w:szCs w:val="28"/>
        </w:rPr>
        <w:t>.</w:t>
      </w:r>
      <w:r w:rsidR="0063008A" w:rsidRPr="001E0239">
        <w:rPr>
          <w:rFonts w:ascii="Times New Roman" w:hAnsi="Times New Roman"/>
          <w:sz w:val="28"/>
          <w:szCs w:val="28"/>
        </w:rPr>
        <w:t>202</w:t>
      </w:r>
      <w:r w:rsidR="0063008A">
        <w:rPr>
          <w:rFonts w:ascii="Times New Roman" w:hAnsi="Times New Roman"/>
          <w:sz w:val="28"/>
          <w:szCs w:val="28"/>
        </w:rPr>
        <w:t>4</w:t>
      </w:r>
      <w:r w:rsidR="0063008A" w:rsidRPr="001E0239">
        <w:rPr>
          <w:rFonts w:ascii="Times New Roman" w:hAnsi="Times New Roman"/>
          <w:sz w:val="28"/>
          <w:szCs w:val="28"/>
        </w:rPr>
        <w:t xml:space="preserve"> </w:t>
      </w:r>
      <w:r w:rsidR="0063008A">
        <w:rPr>
          <w:rFonts w:ascii="Times New Roman" w:hAnsi="Times New Roman"/>
          <w:sz w:val="28"/>
          <w:szCs w:val="28"/>
        </w:rPr>
        <w:t>№</w:t>
      </w:r>
      <w:r w:rsidR="0063008A">
        <w:rPr>
          <w:rFonts w:ascii="Times New Roman" w:hAnsi="Times New Roman"/>
          <w:sz w:val="28"/>
          <w:szCs w:val="28"/>
          <w:lang w:val="tt-RU"/>
        </w:rPr>
        <w:t xml:space="preserve"> 5</w:t>
      </w:r>
      <w:r w:rsidR="00F16991">
        <w:rPr>
          <w:rFonts w:ascii="Times New Roman" w:hAnsi="Times New Roman"/>
          <w:sz w:val="28"/>
          <w:szCs w:val="28"/>
        </w:rPr>
        <w:t>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008A" w:rsidRDefault="0063008A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63008A" w:rsidRPr="00437DDB" w:rsidRDefault="0063008A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З.Х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Фаткуллин</w:t>
      </w:r>
      <w:proofErr w:type="spellEnd"/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 xml:space="preserve">Исполнительного комитета </w:t>
      </w:r>
    </w:p>
    <w:p w:rsidR="005D1FC4" w:rsidRPr="00C71B17" w:rsidRDefault="005403D2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Шалтинского</w:t>
      </w:r>
      <w:r w:rsidR="00CF72F9" w:rsidRPr="00C71B17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от «</w:t>
      </w:r>
      <w:r w:rsidR="005403D2">
        <w:rPr>
          <w:rFonts w:ascii="Times New Roman" w:hAnsi="Times New Roman"/>
          <w:sz w:val="24"/>
          <w:szCs w:val="24"/>
        </w:rPr>
        <w:t>31</w:t>
      </w:r>
      <w:r w:rsidRPr="00C71B17">
        <w:rPr>
          <w:rFonts w:ascii="Times New Roman" w:hAnsi="Times New Roman"/>
          <w:sz w:val="24"/>
          <w:szCs w:val="24"/>
        </w:rPr>
        <w:t>»</w:t>
      </w:r>
      <w:r w:rsidR="005403D2">
        <w:rPr>
          <w:rFonts w:ascii="Times New Roman" w:hAnsi="Times New Roman"/>
          <w:sz w:val="24"/>
          <w:szCs w:val="24"/>
        </w:rPr>
        <w:t xml:space="preserve"> марта</w:t>
      </w:r>
      <w:r w:rsidRPr="00C71B17">
        <w:rPr>
          <w:rFonts w:ascii="Times New Roman" w:hAnsi="Times New Roman"/>
          <w:sz w:val="24"/>
          <w:szCs w:val="24"/>
        </w:rPr>
        <w:t xml:space="preserve"> 2026 г. № </w:t>
      </w:r>
      <w:r w:rsidR="005403D2">
        <w:rPr>
          <w:rFonts w:ascii="Times New Roman" w:hAnsi="Times New Roman"/>
          <w:sz w:val="24"/>
          <w:szCs w:val="24"/>
        </w:rPr>
        <w:t>5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3. Муниципальная услуга должна быть предоставлена заявителю в соответствии с категориями (признаками) заявителя, которые размещаются в </w:t>
      </w:r>
      <w:r w:rsidRPr="00C71B17">
        <w:rPr>
          <w:rFonts w:ascii="Times New Roman" w:hAnsi="Times New Roman"/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="005403D2">
        <w:rPr>
          <w:rFonts w:ascii="Times New Roman" w:hAnsi="Times New Roman"/>
          <w:sz w:val="28"/>
          <w:szCs w:val="28"/>
        </w:rPr>
        <w:t xml:space="preserve"> Исполнительный комитет Шалтинского </w:t>
      </w:r>
      <w:r w:rsidRPr="00C71B17">
        <w:rPr>
          <w:rFonts w:ascii="Times New Roman" w:hAnsi="Times New Roman"/>
          <w:sz w:val="28"/>
          <w:szCs w:val="28"/>
        </w:rPr>
        <w:t>сельского поселения Бавлинского муниципального района.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6. При обращении заявителя за муниципальной услуг</w:t>
      </w:r>
      <w:r w:rsidR="005403D2">
        <w:rPr>
          <w:rFonts w:ascii="Times New Roman" w:hAnsi="Times New Roman"/>
          <w:sz w:val="28"/>
          <w:szCs w:val="28"/>
        </w:rPr>
        <w:t>о</w:t>
      </w:r>
      <w:r w:rsidRPr="00C71B17">
        <w:rPr>
          <w:rFonts w:ascii="Times New Roman" w:hAnsi="Times New Roman"/>
          <w:sz w:val="28"/>
          <w:szCs w:val="28"/>
        </w:rPr>
        <w:t>й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proofErr w:type="spellStart"/>
      <w:r w:rsidRPr="00C71B17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lastRenderedPageBreak/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C71B1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71B1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>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</w:t>
      </w:r>
      <w:r w:rsidR="005403D2">
        <w:rPr>
          <w:rFonts w:ascii="Times New Roman" w:hAnsi="Times New Roman"/>
          <w:sz w:val="28"/>
          <w:szCs w:val="28"/>
        </w:rPr>
        <w:t>м</w:t>
      </w:r>
      <w:r w:rsidRPr="00C71B17">
        <w:rPr>
          <w:rFonts w:ascii="Times New Roman" w:hAnsi="Times New Roman"/>
          <w:sz w:val="28"/>
          <w:szCs w:val="28"/>
        </w:rPr>
        <w:t xml:space="preserve"> портал</w:t>
      </w:r>
      <w:r w:rsidR="005403D2">
        <w:rPr>
          <w:rFonts w:ascii="Times New Roman" w:hAnsi="Times New Roman"/>
          <w:sz w:val="28"/>
          <w:szCs w:val="28"/>
        </w:rPr>
        <w:t>е</w:t>
      </w:r>
      <w:r w:rsidRPr="00C71B17">
        <w:rPr>
          <w:rFonts w:ascii="Times New Roman" w:hAnsi="Times New Roman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</w:t>
      </w:r>
      <w:r w:rsidRPr="00C71B17">
        <w:rPr>
          <w:rFonts w:ascii="Times New Roman" w:hAnsi="Times New Roman"/>
          <w:sz w:val="28"/>
          <w:szCs w:val="28"/>
        </w:rPr>
        <w:lastRenderedPageBreak/>
        <w:t>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</w:t>
      </w:r>
      <w:r w:rsidR="005403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1B17">
        <w:rPr>
          <w:rFonts w:ascii="Times New Roman" w:hAnsi="Times New Roman"/>
          <w:sz w:val="28"/>
          <w:szCs w:val="28"/>
        </w:rPr>
        <w:t>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="005403D2">
        <w:rPr>
          <w:rFonts w:ascii="Times New Roman" w:hAnsi="Times New Roman"/>
          <w:sz w:val="28"/>
          <w:szCs w:val="28"/>
        </w:rPr>
        <w:t xml:space="preserve">иных </w:t>
      </w:r>
      <w:r w:rsidRPr="00C71B17">
        <w:rPr>
          <w:rFonts w:ascii="Times New Roman" w:hAnsi="Times New Roman"/>
          <w:sz w:val="28"/>
          <w:szCs w:val="28"/>
        </w:rPr>
        <w:t>сервисов</w:t>
      </w:r>
      <w:proofErr w:type="gramEnd"/>
      <w:r w:rsidRPr="00C71B17">
        <w:rPr>
          <w:rFonts w:ascii="Times New Roman" w:hAnsi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C71B17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5403D2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Исполнительный комитет Шалтинского сельского поселения Бавлинского муниципального района Республики Татарстан</w:t>
      </w:r>
      <w:r w:rsidR="00CF72F9"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 w:rsidR="00CF72F9"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и отказа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B17"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 w:rsidRPr="00C71B17"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5403D2">
        <w:rPr>
          <w:rFonts w:ascii="Times New Roman" w:hAnsi="Times New Roman"/>
          <w:sz w:val="28"/>
          <w:szCs w:val="28"/>
        </w:rPr>
        <w:t>_______________________________</w:t>
      </w:r>
      <w:r w:rsidRPr="00C71B17">
        <w:rPr>
          <w:rFonts w:ascii="Times New Roman" w:hAnsi="Times New Roman"/>
          <w:sz w:val="28"/>
          <w:szCs w:val="28"/>
        </w:rPr>
        <w:t>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 w:rsidR="005403D2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</w:t>
      </w:r>
      <w:r w:rsidR="005403D2">
        <w:rPr>
          <w:rFonts w:ascii="Times New Roman" w:hAnsi="Times New Roman"/>
          <w:sz w:val="28"/>
          <w:szCs w:val="28"/>
        </w:rPr>
        <w:t>______________________________</w:t>
      </w:r>
      <w:r w:rsidRPr="00C71B17">
        <w:rPr>
          <w:rFonts w:ascii="Times New Roman" w:hAnsi="Times New Roman"/>
          <w:sz w:val="28"/>
          <w:szCs w:val="28"/>
        </w:rPr>
        <w:t xml:space="preserve">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</w:t>
      </w:r>
      <w:r w:rsidR="005403D2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 w:rsidRPr="00C71B17">
        <w:rPr>
          <w:rFonts w:ascii="Times New Roman" w:hAnsi="Times New Roman"/>
          <w:sz w:val="24"/>
          <w:szCs w:val="24"/>
        </w:rPr>
        <w:t xml:space="preserve">что  </w:t>
      </w:r>
      <w:r w:rsidRPr="00C71B17">
        <w:rPr>
          <w:rFonts w:ascii="Times New Roman" w:hAnsi="Times New Roman"/>
          <w:sz w:val="24"/>
          <w:szCs w:val="24"/>
        </w:rPr>
        <w:tab/>
      </w:r>
      <w:proofErr w:type="gramEnd"/>
      <w:r w:rsidRPr="00C71B17">
        <w:rPr>
          <w:rFonts w:ascii="Times New Roman" w:hAnsi="Times New Roman"/>
          <w:sz w:val="24"/>
          <w:szCs w:val="24"/>
        </w:rPr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 w:rsidR="005403D2">
        <w:rPr>
          <w:rFonts w:ascii="Times New Roman" w:hAnsi="Times New Roman"/>
          <w:color w:val="000000"/>
          <w:spacing w:val="-6"/>
          <w:sz w:val="28"/>
          <w:szCs w:val="28"/>
        </w:rPr>
        <w:t xml:space="preserve">зменение и аннулирование такого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C71B17">
        <w:rPr>
          <w:rFonts w:ascii="Times New Roman" w:hAnsi="Times New Roman"/>
          <w:sz w:val="24"/>
          <w:szCs w:val="24"/>
        </w:rPr>
        <w:t>_._</w:t>
      </w:r>
      <w:proofErr w:type="gramEnd"/>
      <w:r w:rsidRPr="00C71B17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C71B17">
        <w:rPr>
          <w:rFonts w:ascii="Times New Roman" w:hAnsi="Times New Roman"/>
          <w:sz w:val="24"/>
          <w:szCs w:val="24"/>
        </w:rPr>
        <w:t>гг</w:t>
      </w:r>
      <w:proofErr w:type="spellEnd"/>
      <w:r w:rsidRPr="00C71B17">
        <w:rPr>
          <w:rFonts w:ascii="Times New Roman" w:hAnsi="Times New Roman"/>
          <w:sz w:val="24"/>
          <w:szCs w:val="24"/>
        </w:rPr>
        <w:t>., о 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</w:t>
      </w:r>
      <w:r w:rsidR="005403D2">
        <w:rPr>
          <w:rFonts w:ascii="Times New Roman" w:hAnsi="Times New Roman"/>
          <w:sz w:val="24"/>
          <w:szCs w:val="24"/>
        </w:rPr>
        <w:t>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4E" w:rsidRDefault="00C7004E">
      <w:pPr>
        <w:spacing w:after="0" w:line="240" w:lineRule="auto"/>
      </w:pPr>
      <w:r>
        <w:separator/>
      </w:r>
    </w:p>
  </w:endnote>
  <w:endnote w:type="continuationSeparator" w:id="0">
    <w:p w:rsidR="00C7004E" w:rsidRDefault="00C7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4E" w:rsidRDefault="00C7004E">
      <w:pPr>
        <w:spacing w:after="0" w:line="240" w:lineRule="auto"/>
      </w:pPr>
      <w:r>
        <w:separator/>
      </w:r>
    </w:p>
  </w:footnote>
  <w:footnote w:type="continuationSeparator" w:id="0">
    <w:p w:rsidR="00C7004E" w:rsidRDefault="00C7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B2A" w:rsidRDefault="00446B2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446B2A" w:rsidRDefault="00446B2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446B2A" w:rsidRDefault="00446B2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9C4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280D2A"/>
    <w:rsid w:val="003D3A12"/>
    <w:rsid w:val="00437DDB"/>
    <w:rsid w:val="00446B2A"/>
    <w:rsid w:val="005403D2"/>
    <w:rsid w:val="005D1FC4"/>
    <w:rsid w:val="0063008A"/>
    <w:rsid w:val="006D1163"/>
    <w:rsid w:val="00981D39"/>
    <w:rsid w:val="00AA59C4"/>
    <w:rsid w:val="00C7004E"/>
    <w:rsid w:val="00C71B17"/>
    <w:rsid w:val="00CB6F20"/>
    <w:rsid w:val="00CF72F9"/>
    <w:rsid w:val="00EE4C98"/>
    <w:rsid w:val="00EE5E35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8402</Words>
  <Characters>47897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cp:lastPrinted>2026-03-31T10:30:00Z</cp:lastPrinted>
  <dcterms:created xsi:type="dcterms:W3CDTF">2026-04-02T06:17:00Z</dcterms:created>
  <dcterms:modified xsi:type="dcterms:W3CDTF">2026-04-02T06:17:00Z</dcterms:modified>
</cp:coreProperties>
</file>