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427A37" w:rsidTr="00485D4F">
        <w:trPr>
          <w:trHeight w:val="1221"/>
        </w:trPr>
        <w:tc>
          <w:tcPr>
            <w:tcW w:w="4400" w:type="dxa"/>
          </w:tcPr>
          <w:p w:rsidR="00CD2068" w:rsidRPr="00427A37" w:rsidRDefault="00CD2068" w:rsidP="00984FB6">
            <w:pPr>
              <w:pStyle w:val="a3"/>
              <w:spacing w:before="23" w:after="23"/>
              <w:contextualSpacing/>
              <w:rPr>
                <w:rFonts w:ascii="Arial" w:hAnsi="Arial" w:cs="Arial"/>
                <w:b w:val="0"/>
                <w:sz w:val="24"/>
                <w:lang w:val="ru-RU"/>
              </w:rPr>
            </w:pPr>
            <w:r w:rsidRPr="00427A37">
              <w:rPr>
                <w:rFonts w:ascii="Arial" w:hAnsi="Arial" w:cs="Arial"/>
                <w:b w:val="0"/>
                <w:sz w:val="24"/>
                <w:lang w:val="ru-RU"/>
              </w:rPr>
              <w:t>ИСПОЛНИТЕЛЬН</w:t>
            </w:r>
            <w:r w:rsidR="008E7667" w:rsidRPr="00427A37">
              <w:rPr>
                <w:rFonts w:ascii="Arial" w:hAnsi="Arial" w:cs="Arial"/>
                <w:b w:val="0"/>
                <w:sz w:val="24"/>
                <w:lang w:val="ru-RU"/>
              </w:rPr>
              <w:t>ЫЙ КОМИТЕТ</w:t>
            </w:r>
          </w:p>
          <w:p w:rsidR="00CD2068" w:rsidRPr="00427A37" w:rsidRDefault="00CD2068" w:rsidP="00984FB6">
            <w:pPr>
              <w:spacing w:before="23" w:after="23"/>
              <w:contextualSpacing/>
              <w:jc w:val="center"/>
              <w:rPr>
                <w:rFonts w:ascii="Arial" w:hAnsi="Arial" w:cs="Arial"/>
              </w:rPr>
            </w:pPr>
            <w:r w:rsidRPr="00427A37">
              <w:rPr>
                <w:rFonts w:ascii="Arial" w:hAnsi="Arial" w:cs="Arial"/>
              </w:rPr>
              <w:t>МУНИЦИПАЛЬНОГО ОБРАЗОВАНИЯ «ГОРОД БАВЛЫ»</w:t>
            </w:r>
          </w:p>
          <w:p w:rsidR="00CD2068" w:rsidRPr="00427A37" w:rsidRDefault="00CD2068" w:rsidP="00984FB6">
            <w:pPr>
              <w:spacing w:before="23" w:after="23"/>
              <w:contextualSpacing/>
              <w:jc w:val="center"/>
              <w:rPr>
                <w:rFonts w:ascii="Arial" w:hAnsi="Arial" w:cs="Arial"/>
              </w:rPr>
            </w:pPr>
            <w:r w:rsidRPr="00427A37">
              <w:rPr>
                <w:rFonts w:ascii="Arial" w:hAnsi="Arial" w:cs="Arial"/>
              </w:rPr>
              <w:t xml:space="preserve"> РЕСПУБЛИКИ ТАТАРСТАН</w:t>
            </w:r>
          </w:p>
        </w:tc>
        <w:tc>
          <w:tcPr>
            <w:tcW w:w="987" w:type="dxa"/>
            <w:gridSpan w:val="2"/>
          </w:tcPr>
          <w:p w:rsidR="00CD2068" w:rsidRPr="00427A37" w:rsidRDefault="00CD2068" w:rsidP="00984FB6">
            <w:pPr>
              <w:spacing w:line="264" w:lineRule="auto"/>
              <w:jc w:val="center"/>
              <w:rPr>
                <w:rFonts w:ascii="Arial" w:hAnsi="Arial" w:cs="Arial"/>
              </w:rPr>
            </w:pPr>
          </w:p>
          <w:p w:rsidR="00CD2068" w:rsidRPr="00427A37" w:rsidRDefault="00CD2068" w:rsidP="00984FB6">
            <w:pPr>
              <w:spacing w:line="264" w:lineRule="auto"/>
              <w:jc w:val="center"/>
              <w:rPr>
                <w:rFonts w:ascii="Arial" w:hAnsi="Arial" w:cs="Arial"/>
              </w:rPr>
            </w:pPr>
          </w:p>
          <w:p w:rsidR="00CD2068" w:rsidRPr="00427A37" w:rsidRDefault="00CD2068" w:rsidP="00984FB6">
            <w:pPr>
              <w:jc w:val="center"/>
              <w:rPr>
                <w:rFonts w:ascii="Arial" w:hAnsi="Arial" w:cs="Arial"/>
              </w:rPr>
            </w:pPr>
          </w:p>
          <w:p w:rsidR="00CD2068" w:rsidRPr="00427A37" w:rsidRDefault="00CD2068" w:rsidP="00984FB6">
            <w:pPr>
              <w:spacing w:line="264" w:lineRule="auto"/>
              <w:jc w:val="center"/>
              <w:rPr>
                <w:rFonts w:ascii="Arial" w:hAnsi="Arial" w:cs="Arial"/>
              </w:rPr>
            </w:pPr>
          </w:p>
        </w:tc>
        <w:tc>
          <w:tcPr>
            <w:tcW w:w="4313" w:type="dxa"/>
            <w:shd w:val="clear" w:color="auto" w:fill="auto"/>
          </w:tcPr>
          <w:p w:rsidR="006B027B" w:rsidRPr="00427A37" w:rsidRDefault="00CD2068" w:rsidP="00984FB6">
            <w:pPr>
              <w:pStyle w:val="2"/>
              <w:spacing w:before="23" w:after="23"/>
              <w:rPr>
                <w:rFonts w:ascii="Arial" w:hAnsi="Arial" w:cs="Arial"/>
                <w:b w:val="0"/>
                <w:sz w:val="24"/>
                <w:szCs w:val="24"/>
              </w:rPr>
            </w:pPr>
            <w:r w:rsidRPr="00427A37">
              <w:rPr>
                <w:rFonts w:ascii="Arial" w:hAnsi="Arial" w:cs="Arial"/>
                <w:b w:val="0"/>
                <w:sz w:val="24"/>
                <w:szCs w:val="24"/>
              </w:rPr>
              <w:t xml:space="preserve">ТАТАРСТАН </w:t>
            </w:r>
            <w:proofErr w:type="spellStart"/>
            <w:r w:rsidRPr="00427A37">
              <w:rPr>
                <w:rFonts w:ascii="Arial" w:hAnsi="Arial" w:cs="Arial"/>
                <w:b w:val="0"/>
                <w:sz w:val="24"/>
                <w:szCs w:val="24"/>
              </w:rPr>
              <w:t>РЕСПУБЛИКАСЫ</w:t>
            </w:r>
            <w:proofErr w:type="spellEnd"/>
          </w:p>
          <w:p w:rsidR="00CD2068" w:rsidRPr="00427A37" w:rsidRDefault="00CD2068" w:rsidP="00984FB6">
            <w:pPr>
              <w:pStyle w:val="2"/>
              <w:spacing w:before="23" w:after="23"/>
              <w:rPr>
                <w:rFonts w:ascii="Arial" w:hAnsi="Arial" w:cs="Arial"/>
                <w:b w:val="0"/>
                <w:sz w:val="24"/>
                <w:szCs w:val="24"/>
              </w:rPr>
            </w:pPr>
            <w:r w:rsidRPr="00427A37">
              <w:rPr>
                <w:rFonts w:ascii="Arial" w:hAnsi="Arial" w:cs="Arial"/>
                <w:b w:val="0"/>
                <w:sz w:val="24"/>
                <w:szCs w:val="24"/>
              </w:rPr>
              <w:t>«</w:t>
            </w:r>
            <w:r w:rsidRPr="00427A37">
              <w:rPr>
                <w:rFonts w:ascii="Arial" w:hAnsi="Arial" w:cs="Arial"/>
                <w:b w:val="0"/>
                <w:sz w:val="24"/>
                <w:szCs w:val="24"/>
                <w:lang w:val="ar-SA"/>
              </w:rPr>
              <w:t>БАУЛЫ</w:t>
            </w:r>
            <w:proofErr w:type="spellStart"/>
            <w:r w:rsidRPr="00427A37">
              <w:rPr>
                <w:rFonts w:ascii="Arial" w:hAnsi="Arial" w:cs="Arial"/>
                <w:b w:val="0"/>
                <w:sz w:val="24"/>
                <w:szCs w:val="24"/>
              </w:rPr>
              <w:t>ШӘҺӘРЕ</w:t>
            </w:r>
            <w:proofErr w:type="spellEnd"/>
            <w:r w:rsidRPr="00427A37">
              <w:rPr>
                <w:rFonts w:ascii="Arial" w:hAnsi="Arial" w:cs="Arial"/>
                <w:b w:val="0"/>
                <w:sz w:val="24"/>
                <w:szCs w:val="24"/>
              </w:rPr>
              <w:t>»</w:t>
            </w:r>
          </w:p>
          <w:p w:rsidR="00CD2068" w:rsidRPr="00427A37" w:rsidRDefault="00CD2068" w:rsidP="00984FB6">
            <w:pPr>
              <w:pStyle w:val="2"/>
              <w:spacing w:before="23" w:after="23"/>
              <w:rPr>
                <w:rFonts w:ascii="Arial" w:hAnsi="Arial" w:cs="Arial"/>
                <w:b w:val="0"/>
                <w:sz w:val="24"/>
                <w:szCs w:val="24"/>
              </w:rPr>
            </w:pPr>
            <w:r w:rsidRPr="00427A37">
              <w:rPr>
                <w:rFonts w:ascii="Arial" w:hAnsi="Arial" w:cs="Arial"/>
                <w:b w:val="0"/>
                <w:sz w:val="24"/>
                <w:szCs w:val="24"/>
                <w:lang w:val="tt-RU"/>
              </w:rPr>
              <w:t>МУНИ</w:t>
            </w:r>
            <w:r w:rsidRPr="00427A37">
              <w:rPr>
                <w:rFonts w:ascii="Arial" w:hAnsi="Arial" w:cs="Arial"/>
                <w:b w:val="0"/>
                <w:sz w:val="24"/>
                <w:szCs w:val="24"/>
              </w:rPr>
              <w:t>Ц</w:t>
            </w:r>
            <w:r w:rsidRPr="00427A37">
              <w:rPr>
                <w:rFonts w:ascii="Arial" w:hAnsi="Arial" w:cs="Arial"/>
                <w:b w:val="0"/>
                <w:sz w:val="24"/>
                <w:szCs w:val="24"/>
                <w:lang w:val="tt-RU"/>
              </w:rPr>
              <w:t xml:space="preserve">ИПАЛЬ </w:t>
            </w:r>
            <w:proofErr w:type="spellStart"/>
            <w:r w:rsidRPr="00427A37">
              <w:rPr>
                <w:rFonts w:ascii="Arial" w:hAnsi="Arial" w:cs="Arial"/>
                <w:b w:val="0"/>
                <w:sz w:val="24"/>
                <w:szCs w:val="24"/>
              </w:rPr>
              <w:t>БЕРӘМЛЕГЕ</w:t>
            </w:r>
            <w:proofErr w:type="spellEnd"/>
            <w:r w:rsidRPr="00427A37">
              <w:rPr>
                <w:rFonts w:ascii="Arial" w:hAnsi="Arial" w:cs="Arial"/>
                <w:b w:val="0"/>
                <w:sz w:val="24"/>
                <w:szCs w:val="24"/>
              </w:rPr>
              <w:t xml:space="preserve"> </w:t>
            </w:r>
          </w:p>
          <w:p w:rsidR="00CD2068" w:rsidRPr="00427A37" w:rsidRDefault="00CD2068" w:rsidP="008E7667">
            <w:pPr>
              <w:pStyle w:val="2"/>
              <w:spacing w:before="23" w:after="23"/>
              <w:contextualSpacing/>
              <w:rPr>
                <w:rFonts w:ascii="Arial" w:hAnsi="Arial" w:cs="Arial"/>
                <w:b w:val="0"/>
                <w:sz w:val="24"/>
                <w:szCs w:val="24"/>
              </w:rPr>
            </w:pPr>
            <w:proofErr w:type="spellStart"/>
            <w:r w:rsidRPr="00427A37">
              <w:rPr>
                <w:rFonts w:ascii="Arial" w:hAnsi="Arial" w:cs="Arial"/>
                <w:b w:val="0"/>
                <w:sz w:val="24"/>
                <w:szCs w:val="24"/>
              </w:rPr>
              <w:t>БАШКАРМА</w:t>
            </w:r>
            <w:proofErr w:type="spellEnd"/>
            <w:r w:rsidRPr="00427A37">
              <w:rPr>
                <w:rFonts w:ascii="Arial" w:hAnsi="Arial" w:cs="Arial"/>
                <w:b w:val="0"/>
                <w:sz w:val="24"/>
                <w:szCs w:val="24"/>
              </w:rPr>
              <w:t xml:space="preserve"> КОМИТЕТЫ</w:t>
            </w:r>
          </w:p>
        </w:tc>
      </w:tr>
      <w:tr w:rsidR="00CD2068" w:rsidRPr="00427A37" w:rsidTr="00984FB6">
        <w:trPr>
          <w:trHeight w:hRule="exact" w:val="387"/>
        </w:trPr>
        <w:tc>
          <w:tcPr>
            <w:tcW w:w="9700" w:type="dxa"/>
            <w:gridSpan w:val="4"/>
          </w:tcPr>
          <w:p w:rsidR="00CD2068" w:rsidRPr="00427A37" w:rsidRDefault="00CD2068" w:rsidP="00984FB6">
            <w:pPr>
              <w:pBdr>
                <w:bottom w:val="single" w:sz="18" w:space="1" w:color="auto"/>
                <w:between w:val="single" w:sz="2" w:space="1" w:color="auto"/>
              </w:pBdr>
              <w:contextualSpacing/>
              <w:jc w:val="center"/>
              <w:rPr>
                <w:rFonts w:ascii="Arial" w:hAnsi="Arial" w:cs="Arial"/>
              </w:rPr>
            </w:pPr>
          </w:p>
          <w:p w:rsidR="00CD2068" w:rsidRPr="00427A37" w:rsidRDefault="00CD2068" w:rsidP="00984FB6">
            <w:pPr>
              <w:jc w:val="center"/>
              <w:rPr>
                <w:rFonts w:ascii="Arial" w:hAnsi="Arial" w:cs="Arial"/>
              </w:rPr>
            </w:pPr>
          </w:p>
        </w:tc>
      </w:tr>
      <w:tr w:rsidR="00CD2068" w:rsidRPr="00427A37" w:rsidTr="00D0041F">
        <w:trPr>
          <w:trHeight w:val="413"/>
        </w:trPr>
        <w:tc>
          <w:tcPr>
            <w:tcW w:w="4850" w:type="dxa"/>
            <w:gridSpan w:val="2"/>
            <w:vAlign w:val="bottom"/>
          </w:tcPr>
          <w:p w:rsidR="00CD2068" w:rsidRPr="00427A37" w:rsidRDefault="00CD2068" w:rsidP="00984FB6">
            <w:pPr>
              <w:rPr>
                <w:rFonts w:ascii="Arial" w:hAnsi="Arial" w:cs="Arial"/>
                <w:b/>
              </w:rPr>
            </w:pPr>
            <w:r w:rsidRPr="00427A37">
              <w:rPr>
                <w:rFonts w:ascii="Arial" w:hAnsi="Arial" w:cs="Arial"/>
                <w:b/>
              </w:rPr>
              <w:t xml:space="preserve">             ПОСТАНОВЛЕНИЕ</w:t>
            </w:r>
          </w:p>
        </w:tc>
        <w:tc>
          <w:tcPr>
            <w:tcW w:w="4850" w:type="dxa"/>
            <w:gridSpan w:val="2"/>
            <w:vAlign w:val="bottom"/>
          </w:tcPr>
          <w:p w:rsidR="00CD2068" w:rsidRPr="00427A37" w:rsidRDefault="00CD2068" w:rsidP="00984FB6">
            <w:pPr>
              <w:jc w:val="center"/>
              <w:rPr>
                <w:rFonts w:ascii="Arial" w:hAnsi="Arial" w:cs="Arial"/>
                <w:b/>
              </w:rPr>
            </w:pPr>
            <w:r w:rsidRPr="00427A37">
              <w:rPr>
                <w:rFonts w:ascii="Arial" w:hAnsi="Arial" w:cs="Arial"/>
                <w:b/>
              </w:rPr>
              <w:t xml:space="preserve">       </w:t>
            </w:r>
            <w:r w:rsidR="006B027B" w:rsidRPr="00427A37">
              <w:rPr>
                <w:rFonts w:ascii="Arial" w:hAnsi="Arial" w:cs="Arial"/>
                <w:b/>
              </w:rPr>
              <w:t xml:space="preserve">  </w:t>
            </w:r>
            <w:r w:rsidRPr="00427A37">
              <w:rPr>
                <w:rFonts w:ascii="Arial" w:hAnsi="Arial" w:cs="Arial"/>
                <w:b/>
              </w:rPr>
              <w:t xml:space="preserve">  </w:t>
            </w:r>
            <w:proofErr w:type="spellStart"/>
            <w:r w:rsidRPr="00427A37">
              <w:rPr>
                <w:rFonts w:ascii="Arial" w:hAnsi="Arial" w:cs="Arial"/>
                <w:b/>
              </w:rPr>
              <w:t>КАРАР</w:t>
            </w:r>
            <w:proofErr w:type="spellEnd"/>
          </w:p>
        </w:tc>
      </w:tr>
      <w:tr w:rsidR="00CD2068" w:rsidRPr="00427A37" w:rsidTr="00D0041F">
        <w:trPr>
          <w:trHeight w:val="413"/>
        </w:trPr>
        <w:tc>
          <w:tcPr>
            <w:tcW w:w="9700" w:type="dxa"/>
            <w:gridSpan w:val="4"/>
            <w:vAlign w:val="bottom"/>
          </w:tcPr>
          <w:p w:rsidR="00CD2068" w:rsidRPr="00427A37" w:rsidRDefault="00CD2068" w:rsidP="00984FB6">
            <w:pPr>
              <w:spacing w:line="120" w:lineRule="auto"/>
              <w:rPr>
                <w:rFonts w:ascii="Arial" w:hAnsi="Arial" w:cs="Arial"/>
              </w:rPr>
            </w:pPr>
          </w:p>
          <w:p w:rsidR="00CD2068" w:rsidRPr="00427A37" w:rsidRDefault="00CD2068" w:rsidP="00984FB6">
            <w:pPr>
              <w:spacing w:line="120" w:lineRule="auto"/>
              <w:rPr>
                <w:rFonts w:ascii="Arial" w:hAnsi="Arial" w:cs="Arial"/>
              </w:rPr>
            </w:pPr>
          </w:p>
          <w:p w:rsidR="00CD2068" w:rsidRPr="00427A37" w:rsidRDefault="006B027B" w:rsidP="00427A37">
            <w:pPr>
              <w:rPr>
                <w:rFonts w:ascii="Arial" w:hAnsi="Arial" w:cs="Arial"/>
              </w:rPr>
            </w:pPr>
            <w:r w:rsidRPr="00427A37">
              <w:rPr>
                <w:rFonts w:ascii="Arial" w:hAnsi="Arial" w:cs="Arial"/>
              </w:rPr>
              <w:t xml:space="preserve">             </w:t>
            </w:r>
            <w:r w:rsidR="00427A37" w:rsidRPr="00427A37">
              <w:rPr>
                <w:rFonts w:ascii="Arial" w:hAnsi="Arial" w:cs="Arial"/>
              </w:rPr>
              <w:t>13.05.2025</w:t>
            </w:r>
            <w:r w:rsidR="00D0041F" w:rsidRPr="00427A37">
              <w:rPr>
                <w:rFonts w:ascii="Arial" w:hAnsi="Arial" w:cs="Arial"/>
                <w:lang w:val="en-US"/>
              </w:rPr>
              <w:t xml:space="preserve">                         </w:t>
            </w:r>
            <w:r w:rsidR="00CD2068" w:rsidRPr="00427A37">
              <w:rPr>
                <w:rFonts w:ascii="Arial" w:hAnsi="Arial" w:cs="Arial"/>
              </w:rPr>
              <w:t xml:space="preserve">  </w:t>
            </w:r>
            <w:proofErr w:type="spellStart"/>
            <w:r w:rsidR="00CD2068" w:rsidRPr="00427A37">
              <w:rPr>
                <w:rFonts w:ascii="Arial" w:hAnsi="Arial" w:cs="Arial"/>
              </w:rPr>
              <w:t>г.Бавлы</w:t>
            </w:r>
            <w:proofErr w:type="spellEnd"/>
            <w:r w:rsidR="00D0041F" w:rsidRPr="00427A37">
              <w:rPr>
                <w:rFonts w:ascii="Arial" w:hAnsi="Arial" w:cs="Arial"/>
                <w:lang w:val="en-US"/>
              </w:rPr>
              <w:t xml:space="preserve">                                          </w:t>
            </w:r>
            <w:r w:rsidR="00CD2068" w:rsidRPr="00427A37">
              <w:rPr>
                <w:rFonts w:ascii="Arial" w:hAnsi="Arial" w:cs="Arial"/>
              </w:rPr>
              <w:t>№</w:t>
            </w:r>
            <w:r w:rsidR="00427A37" w:rsidRPr="00427A37">
              <w:rPr>
                <w:rFonts w:ascii="Arial" w:hAnsi="Arial" w:cs="Arial"/>
              </w:rPr>
              <w:t>161</w:t>
            </w:r>
          </w:p>
        </w:tc>
      </w:tr>
    </w:tbl>
    <w:p w:rsidR="00CF5BAF" w:rsidRPr="00427A37" w:rsidRDefault="006B027B" w:rsidP="00EE6275">
      <w:pPr>
        <w:spacing w:line="360" w:lineRule="auto"/>
        <w:jc w:val="both"/>
        <w:rPr>
          <w:rFonts w:ascii="Arial" w:hAnsi="Arial" w:cs="Arial"/>
        </w:rPr>
      </w:pPr>
      <w:r w:rsidRPr="00427A37">
        <w:rPr>
          <w:rFonts w:ascii="Arial" w:hAnsi="Arial" w:cs="Arial"/>
        </w:rPr>
        <w:t xml:space="preserve">          </w:t>
      </w:r>
    </w:p>
    <w:p w:rsidR="00A617B4" w:rsidRPr="00427A37" w:rsidRDefault="00A617B4" w:rsidP="00A617B4">
      <w:pPr>
        <w:pStyle w:val="ConsPlusTitle"/>
        <w:ind w:right="5669"/>
        <w:jc w:val="both"/>
        <w:rPr>
          <w:b w:val="0"/>
          <w:szCs w:val="24"/>
        </w:rPr>
      </w:pPr>
      <w:bookmarkStart w:id="0" w:name="_GoBack"/>
      <w:r w:rsidRPr="00427A37">
        <w:rPr>
          <w:b w:val="0"/>
          <w:szCs w:val="24"/>
        </w:rPr>
        <w:t>О повышении заработной платы работников организаций, финансируемых из бюджета муниципального образования «город Бавлы», оплата труда которых рассчитывается на основе единой тарифной сетки</w:t>
      </w:r>
    </w:p>
    <w:bookmarkEnd w:id="0"/>
    <w:p w:rsidR="00A617B4" w:rsidRPr="00427A37" w:rsidRDefault="00A617B4" w:rsidP="00A617B4">
      <w:pPr>
        <w:pStyle w:val="ConsPlusNormal"/>
        <w:spacing w:after="1"/>
        <w:rPr>
          <w:rFonts w:ascii="Arial" w:hAnsi="Arial" w:cs="Arial"/>
          <w:szCs w:val="24"/>
        </w:rPr>
      </w:pPr>
    </w:p>
    <w:p w:rsidR="00A617B4" w:rsidRPr="00427A37" w:rsidRDefault="00A617B4" w:rsidP="00A617B4">
      <w:pPr>
        <w:pStyle w:val="ConsPlusNormal"/>
        <w:spacing w:line="360" w:lineRule="auto"/>
        <w:ind w:firstLine="540"/>
        <w:contextualSpacing/>
        <w:jc w:val="both"/>
        <w:rPr>
          <w:rFonts w:ascii="Arial" w:hAnsi="Arial" w:cs="Arial"/>
          <w:szCs w:val="24"/>
        </w:rPr>
      </w:pPr>
      <w:r w:rsidRPr="00427A37">
        <w:rPr>
          <w:rFonts w:ascii="Arial" w:hAnsi="Arial" w:cs="Arial"/>
          <w:szCs w:val="24"/>
        </w:rPr>
        <w:t>В целях повышения качества жизни населения города и в связи с необходимостью повышения тарифных ставок (окладов) Единой тарифной сетки по оплате труда работников бюджетной сферы</w:t>
      </w:r>
      <w:r w:rsidRPr="00427A37">
        <w:rPr>
          <w:rFonts w:ascii="Arial" w:hAnsi="Arial" w:cs="Arial"/>
          <w:b/>
          <w:szCs w:val="24"/>
        </w:rPr>
        <w:t xml:space="preserve"> </w:t>
      </w:r>
      <w:r w:rsidRPr="00427A37">
        <w:rPr>
          <w:rFonts w:ascii="Arial" w:hAnsi="Arial" w:cs="Arial"/>
          <w:szCs w:val="24"/>
        </w:rPr>
        <w:t>муниципального образования «город Бавлы», Исполнительный комитет муниципального образования «город Бавлы» постановляет:</w:t>
      </w:r>
    </w:p>
    <w:p w:rsidR="00A617B4" w:rsidRPr="00427A37" w:rsidRDefault="00A617B4" w:rsidP="00A617B4">
      <w:pPr>
        <w:pStyle w:val="ConsPlusNormal"/>
        <w:spacing w:line="360" w:lineRule="auto"/>
        <w:ind w:firstLine="540"/>
        <w:contextualSpacing/>
        <w:jc w:val="both"/>
        <w:rPr>
          <w:rFonts w:ascii="Arial" w:hAnsi="Arial" w:cs="Arial"/>
          <w:szCs w:val="24"/>
        </w:rPr>
      </w:pPr>
      <w:bookmarkStart w:id="1" w:name="P25"/>
      <w:bookmarkEnd w:id="1"/>
      <w:r w:rsidRPr="00427A37">
        <w:rPr>
          <w:rFonts w:ascii="Arial" w:hAnsi="Arial" w:cs="Arial"/>
          <w:szCs w:val="24"/>
        </w:rPr>
        <w:t xml:space="preserve">1. Установить для работников муниципальных учреждений муниципального образования «город Бавлы», в отношении которых не введена новая система оплаты труда </w:t>
      </w:r>
      <w:r w:rsidRPr="00427A37">
        <w:rPr>
          <w:rFonts w:ascii="Arial" w:hAnsi="Arial" w:cs="Arial"/>
          <w:color w:val="000000"/>
          <w:szCs w:val="24"/>
        </w:rPr>
        <w:t>в соответствии с постановлением Кабинета Министров Республики Татарстан от 14.06.2011 №477 «О повышении заработной платы работников организаций, финансируемых из бюджета Республики Татарстан, оплата труда которых рассчитывается на основе Единой тарифной сетки»</w:t>
      </w:r>
      <w:r w:rsidRPr="00427A37">
        <w:rPr>
          <w:rFonts w:ascii="Arial" w:hAnsi="Arial" w:cs="Arial"/>
          <w:szCs w:val="24"/>
        </w:rPr>
        <w:t>:</w:t>
      </w:r>
    </w:p>
    <w:p w:rsidR="00A617B4" w:rsidRPr="00427A37" w:rsidRDefault="00A617B4" w:rsidP="00A617B4">
      <w:pPr>
        <w:pStyle w:val="ConsPlusNormal"/>
        <w:spacing w:line="360" w:lineRule="auto"/>
        <w:ind w:firstLine="540"/>
        <w:contextualSpacing/>
        <w:jc w:val="both"/>
        <w:rPr>
          <w:rFonts w:ascii="Arial" w:hAnsi="Arial" w:cs="Arial"/>
          <w:szCs w:val="24"/>
        </w:rPr>
      </w:pPr>
      <w:r w:rsidRPr="00427A37">
        <w:rPr>
          <w:rFonts w:ascii="Arial" w:hAnsi="Arial" w:cs="Arial"/>
          <w:szCs w:val="24"/>
        </w:rPr>
        <w:t xml:space="preserve">тарифные </w:t>
      </w:r>
      <w:hyperlink w:anchor="P57" w:tooltip="ТАРИФНЫЕ КОЭФФИЦИЕНТЫ И ТАРИФНЫЕ СТАВКИ (ОКЛАДЫ) ЕДИНОЙ">
        <w:r w:rsidRPr="00427A37">
          <w:rPr>
            <w:rFonts w:ascii="Arial" w:hAnsi="Arial" w:cs="Arial"/>
            <w:color w:val="000000" w:themeColor="text1"/>
            <w:szCs w:val="24"/>
          </w:rPr>
          <w:t>коэффициенты</w:t>
        </w:r>
      </w:hyperlink>
      <w:r w:rsidRPr="00427A37">
        <w:rPr>
          <w:rFonts w:ascii="Arial" w:hAnsi="Arial" w:cs="Arial"/>
          <w:szCs w:val="24"/>
        </w:rPr>
        <w:t xml:space="preserve"> и тарифные ставки (оклады) Единой тарифной сетки по оплате труда работников бюджетной сферы муниципального образования «город Бавлы» согласно приложению.</w:t>
      </w:r>
    </w:p>
    <w:p w:rsidR="00A617B4" w:rsidRPr="00427A37" w:rsidRDefault="00A617B4" w:rsidP="00A617B4">
      <w:pPr>
        <w:pStyle w:val="ConsPlusNormal"/>
        <w:spacing w:line="360" w:lineRule="auto"/>
        <w:ind w:firstLine="540"/>
        <w:contextualSpacing/>
        <w:jc w:val="both"/>
        <w:rPr>
          <w:rFonts w:ascii="Arial" w:hAnsi="Arial" w:cs="Arial"/>
          <w:szCs w:val="24"/>
        </w:rPr>
      </w:pPr>
      <w:bookmarkStart w:id="2" w:name="P33"/>
      <w:bookmarkEnd w:id="2"/>
      <w:r w:rsidRPr="00427A37">
        <w:rPr>
          <w:rFonts w:ascii="Arial" w:hAnsi="Arial" w:cs="Arial"/>
          <w:szCs w:val="24"/>
        </w:rPr>
        <w:t xml:space="preserve">2. Установить, что финансирование расходов, связанных с осуществлением мероприятий, предусмотренных </w:t>
      </w:r>
      <w:hyperlink w:anchor="P25" w:tooltip="1. Установить для работников государственных учреждений Республики Татарстан, в отношении которых не введена новая система оплаты труда в соответствии с Постановлением Кабинета Министров Республики Татарстан от 18.08.2008 N 592 &quot;О введении новых систем оплаты ">
        <w:r w:rsidRPr="00427A37">
          <w:rPr>
            <w:rFonts w:ascii="Arial" w:hAnsi="Arial" w:cs="Arial"/>
            <w:color w:val="000000" w:themeColor="text1"/>
            <w:szCs w:val="24"/>
          </w:rPr>
          <w:t>пунктами 1</w:t>
        </w:r>
      </w:hyperlink>
      <w:r w:rsidRPr="00427A37">
        <w:rPr>
          <w:rFonts w:ascii="Arial" w:hAnsi="Arial" w:cs="Arial"/>
          <w:color w:val="000000" w:themeColor="text1"/>
          <w:szCs w:val="24"/>
        </w:rPr>
        <w:t xml:space="preserve">, </w:t>
      </w:r>
      <w:hyperlink w:anchor="P33" w:tooltip="2. Установить, что:">
        <w:r w:rsidRPr="00427A37">
          <w:rPr>
            <w:rFonts w:ascii="Arial" w:hAnsi="Arial" w:cs="Arial"/>
            <w:color w:val="000000" w:themeColor="text1"/>
            <w:szCs w:val="24"/>
          </w:rPr>
          <w:t>2</w:t>
        </w:r>
      </w:hyperlink>
      <w:r w:rsidRPr="00427A37">
        <w:rPr>
          <w:rFonts w:ascii="Arial" w:hAnsi="Arial" w:cs="Arial"/>
          <w:szCs w:val="24"/>
        </w:rPr>
        <w:t xml:space="preserve"> настоящего Постановления, производится за счет средств бюджета муниципального образования «город Бавлы», внебюджетных средств, а также средств, полученных от предпринимательской и иной приносящей доход деятельности.</w:t>
      </w:r>
    </w:p>
    <w:p w:rsidR="00A617B4" w:rsidRPr="00427A37" w:rsidRDefault="00A617B4" w:rsidP="00A617B4">
      <w:pPr>
        <w:pStyle w:val="ConsPlusNormal"/>
        <w:spacing w:line="360" w:lineRule="auto"/>
        <w:ind w:firstLine="540"/>
        <w:contextualSpacing/>
        <w:jc w:val="both"/>
        <w:rPr>
          <w:rFonts w:ascii="Arial" w:hAnsi="Arial" w:cs="Arial"/>
          <w:szCs w:val="24"/>
        </w:rPr>
      </w:pPr>
      <w:r w:rsidRPr="00427A37">
        <w:rPr>
          <w:rFonts w:ascii="Arial" w:hAnsi="Arial" w:cs="Arial"/>
          <w:szCs w:val="24"/>
        </w:rPr>
        <w:t>3. Установить, что действие настоящего постановления распространяется на правоотношения возникшие с 1 мая 2025 года.</w:t>
      </w:r>
    </w:p>
    <w:p w:rsidR="00A617B4" w:rsidRPr="00427A37" w:rsidRDefault="00084F9D" w:rsidP="00A617B4">
      <w:pPr>
        <w:pStyle w:val="ConsPlusNormal"/>
        <w:spacing w:line="360" w:lineRule="auto"/>
        <w:ind w:firstLine="540"/>
        <w:contextualSpacing/>
        <w:jc w:val="both"/>
        <w:rPr>
          <w:rFonts w:ascii="Arial" w:hAnsi="Arial" w:cs="Arial"/>
          <w:szCs w:val="24"/>
        </w:rPr>
      </w:pPr>
      <w:r w:rsidRPr="00427A37">
        <w:rPr>
          <w:rFonts w:ascii="Arial" w:hAnsi="Arial" w:cs="Arial"/>
          <w:szCs w:val="24"/>
        </w:rPr>
        <w:t>4</w:t>
      </w:r>
      <w:r w:rsidR="00A617B4" w:rsidRPr="00427A37">
        <w:rPr>
          <w:rFonts w:ascii="Arial" w:hAnsi="Arial" w:cs="Arial"/>
          <w:szCs w:val="24"/>
        </w:rPr>
        <w:t>. Контроль за исполнением настоящего Постановления возложить на главного бухгалтера Исполнительного комитета муниципального образования «город Бавлы».</w:t>
      </w:r>
    </w:p>
    <w:p w:rsidR="00A617B4" w:rsidRPr="00427A37" w:rsidRDefault="00A617B4" w:rsidP="00A617B4">
      <w:pPr>
        <w:pStyle w:val="ConsPlusNormal"/>
        <w:jc w:val="both"/>
        <w:rPr>
          <w:rFonts w:ascii="Arial" w:hAnsi="Arial" w:cs="Arial"/>
          <w:szCs w:val="24"/>
        </w:rPr>
      </w:pPr>
      <w:r w:rsidRPr="00427A37">
        <w:rPr>
          <w:rFonts w:ascii="Arial" w:hAnsi="Arial" w:cs="Arial"/>
          <w:szCs w:val="24"/>
        </w:rPr>
        <w:lastRenderedPageBreak/>
        <w:t xml:space="preserve">Руководитель   </w:t>
      </w:r>
    </w:p>
    <w:p w:rsidR="00A617B4" w:rsidRPr="00427A37" w:rsidRDefault="00A617B4" w:rsidP="00A617B4">
      <w:pPr>
        <w:pStyle w:val="ConsPlusNormal"/>
        <w:jc w:val="both"/>
        <w:rPr>
          <w:rFonts w:ascii="Arial" w:hAnsi="Arial" w:cs="Arial"/>
          <w:szCs w:val="24"/>
        </w:rPr>
      </w:pPr>
      <w:r w:rsidRPr="00427A37">
        <w:rPr>
          <w:rFonts w:ascii="Arial" w:hAnsi="Arial" w:cs="Arial"/>
          <w:szCs w:val="24"/>
        </w:rPr>
        <w:t>Исполнительного комитета</w:t>
      </w:r>
    </w:p>
    <w:p w:rsidR="00A617B4" w:rsidRPr="00427A37" w:rsidRDefault="00A617B4" w:rsidP="00A617B4">
      <w:pPr>
        <w:pStyle w:val="ConsPlusNormal"/>
        <w:jc w:val="both"/>
        <w:rPr>
          <w:rFonts w:ascii="Arial" w:hAnsi="Arial" w:cs="Arial"/>
          <w:szCs w:val="24"/>
        </w:rPr>
      </w:pPr>
      <w:r w:rsidRPr="00427A37">
        <w:rPr>
          <w:rFonts w:ascii="Arial" w:hAnsi="Arial" w:cs="Arial"/>
          <w:szCs w:val="24"/>
        </w:rPr>
        <w:t xml:space="preserve">муниципального образования «город </w:t>
      </w:r>
      <w:proofErr w:type="gramStart"/>
      <w:r w:rsidRPr="00427A37">
        <w:rPr>
          <w:rFonts w:ascii="Arial" w:hAnsi="Arial" w:cs="Arial"/>
          <w:szCs w:val="24"/>
        </w:rPr>
        <w:t xml:space="preserve">Бавлы»   </w:t>
      </w:r>
      <w:proofErr w:type="gramEnd"/>
      <w:r w:rsidRPr="00427A37">
        <w:rPr>
          <w:rFonts w:ascii="Arial" w:hAnsi="Arial" w:cs="Arial"/>
          <w:szCs w:val="24"/>
        </w:rPr>
        <w:t xml:space="preserve">                 </w:t>
      </w:r>
      <w:r w:rsidR="00427A37">
        <w:rPr>
          <w:rFonts w:ascii="Arial" w:hAnsi="Arial" w:cs="Arial"/>
          <w:szCs w:val="24"/>
        </w:rPr>
        <w:t xml:space="preserve">            </w:t>
      </w:r>
      <w:r w:rsidRPr="00427A37">
        <w:rPr>
          <w:rFonts w:ascii="Arial" w:hAnsi="Arial" w:cs="Arial"/>
          <w:szCs w:val="24"/>
        </w:rPr>
        <w:t xml:space="preserve">             </w:t>
      </w:r>
      <w:proofErr w:type="spellStart"/>
      <w:r w:rsidRPr="00427A37">
        <w:rPr>
          <w:rFonts w:ascii="Arial" w:hAnsi="Arial" w:cs="Arial"/>
          <w:szCs w:val="24"/>
        </w:rPr>
        <w:t>С.Ю</w:t>
      </w:r>
      <w:proofErr w:type="spellEnd"/>
      <w:r w:rsidRPr="00427A37">
        <w:rPr>
          <w:rFonts w:ascii="Arial" w:hAnsi="Arial" w:cs="Arial"/>
          <w:szCs w:val="24"/>
        </w:rPr>
        <w:t>. Соколов</w:t>
      </w:r>
    </w:p>
    <w:p w:rsidR="00A617B4" w:rsidRPr="00427A37" w:rsidRDefault="00A617B4" w:rsidP="00A617B4">
      <w:pPr>
        <w:pStyle w:val="ConsPlusNormal"/>
        <w:ind w:firstLine="567"/>
        <w:jc w:val="both"/>
        <w:rPr>
          <w:rFonts w:ascii="Arial" w:hAnsi="Arial" w:cs="Arial"/>
          <w:szCs w:val="24"/>
        </w:rPr>
      </w:pPr>
      <w:r w:rsidRPr="00427A37">
        <w:rPr>
          <w:rFonts w:ascii="Arial" w:hAnsi="Arial" w:cs="Arial"/>
          <w:szCs w:val="24"/>
        </w:rPr>
        <w:t xml:space="preserve">                                                                   </w:t>
      </w:r>
    </w:p>
    <w:p w:rsidR="00A617B4" w:rsidRPr="00427A37" w:rsidRDefault="00A617B4" w:rsidP="00A617B4">
      <w:pPr>
        <w:pStyle w:val="ConsPlusNormal"/>
        <w:jc w:val="both"/>
        <w:rPr>
          <w:rFonts w:ascii="Arial" w:hAnsi="Arial" w:cs="Arial"/>
          <w:szCs w:val="24"/>
        </w:rPr>
      </w:pPr>
    </w:p>
    <w:p w:rsidR="00A617B4" w:rsidRPr="00427A37" w:rsidRDefault="00A617B4" w:rsidP="00A617B4">
      <w:pPr>
        <w:pStyle w:val="ConsPlusNormal"/>
        <w:jc w:val="both"/>
        <w:rPr>
          <w:rFonts w:ascii="Arial" w:hAnsi="Arial" w:cs="Arial"/>
          <w:szCs w:val="24"/>
        </w:rPr>
      </w:pPr>
    </w:p>
    <w:p w:rsidR="00A617B4" w:rsidRPr="00427A37" w:rsidRDefault="00A617B4" w:rsidP="00A617B4">
      <w:pPr>
        <w:pStyle w:val="ConsPlusNormal"/>
        <w:jc w:val="right"/>
        <w:outlineLvl w:val="0"/>
        <w:rPr>
          <w:rFonts w:ascii="Arial" w:hAnsi="Arial" w:cs="Arial"/>
          <w:szCs w:val="24"/>
        </w:rPr>
      </w:pPr>
      <w:r w:rsidRPr="00427A37">
        <w:rPr>
          <w:rFonts w:ascii="Arial" w:hAnsi="Arial" w:cs="Arial"/>
          <w:szCs w:val="24"/>
        </w:rPr>
        <w:t xml:space="preserve">Приложение </w:t>
      </w:r>
    </w:p>
    <w:p w:rsidR="00A617B4" w:rsidRPr="00427A37" w:rsidRDefault="00A617B4" w:rsidP="00A617B4">
      <w:pPr>
        <w:pStyle w:val="ConsPlusNormal"/>
        <w:jc w:val="right"/>
        <w:rPr>
          <w:rFonts w:ascii="Arial" w:hAnsi="Arial" w:cs="Arial"/>
          <w:szCs w:val="24"/>
        </w:rPr>
      </w:pPr>
      <w:r w:rsidRPr="00427A37">
        <w:rPr>
          <w:rFonts w:ascii="Arial" w:hAnsi="Arial" w:cs="Arial"/>
          <w:szCs w:val="24"/>
        </w:rPr>
        <w:t>к Постановлению</w:t>
      </w:r>
    </w:p>
    <w:p w:rsidR="00A617B4" w:rsidRPr="00427A37" w:rsidRDefault="00A617B4" w:rsidP="00A617B4">
      <w:pPr>
        <w:pStyle w:val="ConsPlusNormal"/>
        <w:jc w:val="right"/>
        <w:rPr>
          <w:rFonts w:ascii="Arial" w:hAnsi="Arial" w:cs="Arial"/>
          <w:szCs w:val="24"/>
        </w:rPr>
      </w:pPr>
      <w:r w:rsidRPr="00427A37">
        <w:rPr>
          <w:rFonts w:ascii="Arial" w:hAnsi="Arial" w:cs="Arial"/>
          <w:szCs w:val="24"/>
        </w:rPr>
        <w:t xml:space="preserve">Исполнительного комитета </w:t>
      </w:r>
    </w:p>
    <w:p w:rsidR="00A617B4" w:rsidRPr="00427A37" w:rsidRDefault="00A617B4" w:rsidP="00A617B4">
      <w:pPr>
        <w:pStyle w:val="ConsPlusNormal"/>
        <w:jc w:val="right"/>
        <w:rPr>
          <w:rFonts w:ascii="Arial" w:hAnsi="Arial" w:cs="Arial"/>
          <w:szCs w:val="24"/>
        </w:rPr>
      </w:pPr>
      <w:r w:rsidRPr="00427A37">
        <w:rPr>
          <w:rFonts w:ascii="Arial" w:hAnsi="Arial" w:cs="Arial"/>
          <w:szCs w:val="24"/>
        </w:rPr>
        <w:t>муниципального образования «город Бавлы»</w:t>
      </w:r>
    </w:p>
    <w:p w:rsidR="00A617B4" w:rsidRPr="00427A37" w:rsidRDefault="00427A37" w:rsidP="00A617B4">
      <w:pPr>
        <w:pStyle w:val="ConsPlusNormal"/>
        <w:jc w:val="right"/>
        <w:rPr>
          <w:rFonts w:ascii="Arial" w:hAnsi="Arial" w:cs="Arial"/>
          <w:szCs w:val="24"/>
        </w:rPr>
      </w:pPr>
      <w:r>
        <w:rPr>
          <w:rFonts w:ascii="Arial" w:hAnsi="Arial" w:cs="Arial"/>
          <w:szCs w:val="24"/>
        </w:rPr>
        <w:t>13.05.</w:t>
      </w:r>
      <w:r w:rsidR="00A617B4" w:rsidRPr="00427A37">
        <w:rPr>
          <w:rFonts w:ascii="Arial" w:hAnsi="Arial" w:cs="Arial"/>
          <w:szCs w:val="24"/>
        </w:rPr>
        <w:t>2025г. №</w:t>
      </w:r>
      <w:r>
        <w:rPr>
          <w:rFonts w:ascii="Arial" w:hAnsi="Arial" w:cs="Arial"/>
          <w:szCs w:val="24"/>
        </w:rPr>
        <w:t>161</w:t>
      </w:r>
    </w:p>
    <w:p w:rsidR="00A617B4" w:rsidRPr="00427A37" w:rsidRDefault="00A617B4" w:rsidP="00A617B4">
      <w:pPr>
        <w:pStyle w:val="ConsPlusNormal"/>
        <w:jc w:val="right"/>
        <w:rPr>
          <w:rFonts w:ascii="Arial" w:hAnsi="Arial" w:cs="Arial"/>
          <w:szCs w:val="24"/>
        </w:rPr>
      </w:pPr>
    </w:p>
    <w:p w:rsidR="00A617B4" w:rsidRPr="00427A37" w:rsidRDefault="00A617B4" w:rsidP="00A617B4">
      <w:pPr>
        <w:pStyle w:val="ConsPlusNormal"/>
        <w:jc w:val="both"/>
        <w:rPr>
          <w:rFonts w:ascii="Arial" w:hAnsi="Arial" w:cs="Arial"/>
          <w:szCs w:val="24"/>
        </w:rPr>
      </w:pPr>
    </w:p>
    <w:p w:rsidR="00A617B4" w:rsidRPr="00427A37" w:rsidRDefault="00A617B4" w:rsidP="00A617B4">
      <w:pPr>
        <w:pStyle w:val="ConsPlusNormal"/>
        <w:spacing w:line="228" w:lineRule="auto"/>
        <w:jc w:val="center"/>
        <w:rPr>
          <w:rFonts w:ascii="Arial" w:hAnsi="Arial" w:cs="Arial"/>
          <w:bCs/>
          <w:szCs w:val="24"/>
        </w:rPr>
      </w:pPr>
      <w:bookmarkStart w:id="3" w:name="P57"/>
      <w:bookmarkEnd w:id="3"/>
      <w:r w:rsidRPr="00427A37">
        <w:rPr>
          <w:rFonts w:ascii="Arial" w:hAnsi="Arial" w:cs="Arial"/>
          <w:bCs/>
          <w:szCs w:val="24"/>
        </w:rPr>
        <w:t>Тарифные коэффициенты и тарифные ставки (оклады)</w:t>
      </w:r>
    </w:p>
    <w:p w:rsidR="00A617B4" w:rsidRPr="00427A37" w:rsidRDefault="00A617B4" w:rsidP="00A617B4">
      <w:pPr>
        <w:pStyle w:val="ConsPlusNormal"/>
        <w:spacing w:line="228" w:lineRule="auto"/>
        <w:jc w:val="center"/>
        <w:rPr>
          <w:rFonts w:ascii="Arial" w:hAnsi="Arial" w:cs="Arial"/>
          <w:bCs/>
          <w:szCs w:val="24"/>
        </w:rPr>
      </w:pPr>
      <w:r w:rsidRPr="00427A37">
        <w:rPr>
          <w:rFonts w:ascii="Arial" w:hAnsi="Arial" w:cs="Arial"/>
          <w:bCs/>
          <w:szCs w:val="24"/>
        </w:rPr>
        <w:t xml:space="preserve"> Единой тарифной сетки по оплате труда работников бюджетной сферы </w:t>
      </w:r>
      <w:r w:rsidRPr="00427A37">
        <w:rPr>
          <w:rFonts w:ascii="Arial" w:hAnsi="Arial" w:cs="Arial"/>
          <w:szCs w:val="24"/>
        </w:rPr>
        <w:t>муниципального образования «город Бавлы»</w:t>
      </w:r>
    </w:p>
    <w:p w:rsidR="00A617B4" w:rsidRPr="00427A37" w:rsidRDefault="00A617B4" w:rsidP="00A617B4">
      <w:pPr>
        <w:pStyle w:val="ConsPlusNormal"/>
        <w:spacing w:line="228" w:lineRule="auto"/>
        <w:ind w:firstLine="708"/>
        <w:jc w:val="center"/>
        <w:rPr>
          <w:rFonts w:ascii="Arial" w:hAnsi="Arial" w:cs="Arial"/>
          <w:bCs/>
          <w:szCs w:val="24"/>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000" w:firstRow="0" w:lastRow="0" w:firstColumn="0" w:lastColumn="0" w:noHBand="0" w:noVBand="0"/>
      </w:tblPr>
      <w:tblGrid>
        <w:gridCol w:w="2740"/>
        <w:gridCol w:w="2740"/>
        <w:gridCol w:w="2741"/>
      </w:tblGrid>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Разряды оплаты</w:t>
            </w:r>
            <w:r w:rsidRPr="00427A37">
              <w:rPr>
                <w:rFonts w:ascii="Arial" w:hAnsi="Arial" w:cs="Arial"/>
                <w:szCs w:val="24"/>
              </w:rPr>
              <w:br/>
              <w:t>Единой тарифной сетки</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 xml:space="preserve">Тарифные </w:t>
            </w:r>
          </w:p>
          <w:p w:rsidR="00A617B4" w:rsidRPr="00427A37" w:rsidRDefault="00A617B4" w:rsidP="00C5566A">
            <w:pPr>
              <w:pStyle w:val="ConsPlusNormal"/>
              <w:jc w:val="center"/>
              <w:rPr>
                <w:rFonts w:ascii="Arial" w:hAnsi="Arial" w:cs="Arial"/>
                <w:szCs w:val="24"/>
              </w:rPr>
            </w:pPr>
            <w:r w:rsidRPr="00427A37">
              <w:rPr>
                <w:rFonts w:ascii="Arial" w:hAnsi="Arial" w:cs="Arial"/>
                <w:szCs w:val="24"/>
              </w:rPr>
              <w:t>коэффициенты</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Тарифные ставки (оклады), рублей</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23 320</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1,0114</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23 586</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3</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1,0233</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23 863</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4</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1,0346</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24 127</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5</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1,0473</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24 423</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6</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1,0595</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24 707</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7</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1,0728</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25 017</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8</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1,0855</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25 314</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9</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1,0983</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25 612</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10</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1,1119</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25 929</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1,1251</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26 237</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12</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1,1393</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26 568</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13</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1,1535</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26 899</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14</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1,1675</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27 226</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15</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1,1823</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27 573</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16</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1,1973</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27 921</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17</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1,2124</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28 273</w:t>
            </w:r>
          </w:p>
        </w:tc>
      </w:tr>
      <w:tr w:rsidR="00A617B4" w:rsidRPr="00427A37" w:rsidTr="00C5566A">
        <w:trPr>
          <w:trHeight w:val="20"/>
          <w:jc w:val="center"/>
        </w:trPr>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18</w:t>
            </w:r>
          </w:p>
        </w:tc>
        <w:tc>
          <w:tcPr>
            <w:tcW w:w="2740"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1,2280</w:t>
            </w:r>
          </w:p>
        </w:tc>
        <w:tc>
          <w:tcPr>
            <w:tcW w:w="2741" w:type="dxa"/>
          </w:tcPr>
          <w:p w:rsidR="00A617B4" w:rsidRPr="00427A37" w:rsidRDefault="00A617B4" w:rsidP="00C5566A">
            <w:pPr>
              <w:pStyle w:val="ConsPlusNormal"/>
              <w:jc w:val="center"/>
              <w:rPr>
                <w:rFonts w:ascii="Arial" w:hAnsi="Arial" w:cs="Arial"/>
                <w:szCs w:val="24"/>
              </w:rPr>
            </w:pPr>
            <w:r w:rsidRPr="00427A37">
              <w:rPr>
                <w:rFonts w:ascii="Arial" w:hAnsi="Arial" w:cs="Arial"/>
                <w:szCs w:val="24"/>
              </w:rPr>
              <w:t>28 637</w:t>
            </w:r>
          </w:p>
        </w:tc>
      </w:tr>
    </w:tbl>
    <w:p w:rsidR="00A617B4" w:rsidRPr="00427A37" w:rsidRDefault="00A617B4" w:rsidP="00A617B4">
      <w:pPr>
        <w:pStyle w:val="ConsPlusNormal"/>
        <w:ind w:firstLine="709"/>
        <w:jc w:val="both"/>
        <w:rPr>
          <w:rFonts w:ascii="Arial" w:hAnsi="Arial" w:cs="Arial"/>
          <w:szCs w:val="24"/>
        </w:rPr>
      </w:pPr>
    </w:p>
    <w:p w:rsidR="00A617B4" w:rsidRPr="00427A37" w:rsidRDefault="00A617B4" w:rsidP="00A617B4">
      <w:pPr>
        <w:pStyle w:val="ConsPlusNormal"/>
        <w:ind w:left="709" w:right="707" w:firstLine="709"/>
        <w:jc w:val="both"/>
        <w:rPr>
          <w:rFonts w:ascii="Arial" w:eastAsia="Calibri" w:hAnsi="Arial" w:cs="Arial"/>
          <w:szCs w:val="24"/>
          <w:lang w:eastAsia="en-US"/>
        </w:rPr>
      </w:pPr>
      <w:r w:rsidRPr="00427A37">
        <w:rPr>
          <w:rFonts w:ascii="Arial" w:hAnsi="Arial" w:cs="Arial"/>
          <w:szCs w:val="24"/>
        </w:rPr>
        <w:t xml:space="preserve">Примечание: </w:t>
      </w:r>
      <w:r w:rsidRPr="00427A37">
        <w:rPr>
          <w:rFonts w:ascii="Arial" w:eastAsia="Calibri" w:hAnsi="Arial" w:cs="Arial"/>
          <w:szCs w:val="24"/>
          <w:lang w:eastAsia="en-US"/>
        </w:rPr>
        <w:t>Размер тарифной ставки (оклада) заместителя руководителя устанавливается на 1 – 2 разряда ниже тарифной ставки (оклада) соответствующего руководителя.</w:t>
      </w:r>
    </w:p>
    <w:p w:rsidR="00347D34" w:rsidRPr="00427A37" w:rsidRDefault="00347D34" w:rsidP="00A617B4">
      <w:pPr>
        <w:shd w:val="clear" w:color="auto" w:fill="FFFFFF"/>
        <w:jc w:val="both"/>
        <w:textAlignment w:val="baseline"/>
        <w:rPr>
          <w:rFonts w:ascii="Arial" w:eastAsia="Calibri" w:hAnsi="Arial" w:cs="Arial"/>
          <w:lang w:eastAsia="en-US"/>
        </w:rPr>
      </w:pPr>
    </w:p>
    <w:sectPr w:rsidR="00347D34" w:rsidRPr="00427A37" w:rsidSect="00427A37">
      <w:headerReference w:type="even" r:id="rId7"/>
      <w:headerReference w:type="default" r:id="rId8"/>
      <w:pgSz w:w="11909" w:h="16838"/>
      <w:pgMar w:top="1134" w:right="567"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A83" w:rsidRDefault="00C32A83">
      <w:r>
        <w:separator/>
      </w:r>
    </w:p>
  </w:endnote>
  <w:endnote w:type="continuationSeparator" w:id="0">
    <w:p w:rsidR="00C32A83" w:rsidRDefault="00C3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A83" w:rsidRDefault="00C32A83">
      <w:r>
        <w:separator/>
      </w:r>
    </w:p>
  </w:footnote>
  <w:footnote w:type="continuationSeparator" w:id="0">
    <w:p w:rsidR="00C32A83" w:rsidRDefault="00C32A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427A37">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790"/>
    <w:multiLevelType w:val="multilevel"/>
    <w:tmpl w:val="19E4A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1D3506"/>
    <w:multiLevelType w:val="multilevel"/>
    <w:tmpl w:val="506C954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381296"/>
    <w:multiLevelType w:val="multilevel"/>
    <w:tmpl w:val="6EF4F8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D301AA"/>
    <w:multiLevelType w:val="multilevel"/>
    <w:tmpl w:val="4342CA3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15:restartNumberingAfterBreak="0">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384F7E5E"/>
    <w:multiLevelType w:val="multilevel"/>
    <w:tmpl w:val="9D6A952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39B05C2"/>
    <w:multiLevelType w:val="multilevel"/>
    <w:tmpl w:val="7206B2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4478DF"/>
    <w:multiLevelType w:val="multilevel"/>
    <w:tmpl w:val="388845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AB722AC"/>
    <w:multiLevelType w:val="hybridMultilevel"/>
    <w:tmpl w:val="CDC8248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
  </w:num>
  <w:num w:numId="2">
    <w:abstractNumId w:val="8"/>
  </w:num>
  <w:num w:numId="3">
    <w:abstractNumId w:val="11"/>
  </w:num>
  <w:num w:numId="4">
    <w:abstractNumId w:val="7"/>
  </w:num>
  <w:num w:numId="5">
    <w:abstractNumId w:val="14"/>
  </w:num>
  <w:num w:numId="6">
    <w:abstractNumId w:val="5"/>
  </w:num>
  <w:num w:numId="7">
    <w:abstractNumId w:val="3"/>
  </w:num>
  <w:num w:numId="8">
    <w:abstractNumId w:val="10"/>
  </w:num>
  <w:num w:numId="9">
    <w:abstractNumId w:val="0"/>
  </w:num>
  <w:num w:numId="10">
    <w:abstractNumId w:val="4"/>
  </w:num>
  <w:num w:numId="11">
    <w:abstractNumId w:val="12"/>
  </w:num>
  <w:num w:numId="12">
    <w:abstractNumId w:val="13"/>
  </w:num>
  <w:num w:numId="13">
    <w:abstractNumId w:val="2"/>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0"/>
    <w:rsid w:val="00010DCF"/>
    <w:rsid w:val="000216F5"/>
    <w:rsid w:val="00023968"/>
    <w:rsid w:val="0004343A"/>
    <w:rsid w:val="00053EFD"/>
    <w:rsid w:val="00067AF2"/>
    <w:rsid w:val="00084F9D"/>
    <w:rsid w:val="00093BBA"/>
    <w:rsid w:val="00095266"/>
    <w:rsid w:val="000A3FA9"/>
    <w:rsid w:val="000A4729"/>
    <w:rsid w:val="000C3641"/>
    <w:rsid w:val="000F1499"/>
    <w:rsid w:val="00102DE9"/>
    <w:rsid w:val="0012285A"/>
    <w:rsid w:val="001302E3"/>
    <w:rsid w:val="00134271"/>
    <w:rsid w:val="00134401"/>
    <w:rsid w:val="001628A9"/>
    <w:rsid w:val="001856E4"/>
    <w:rsid w:val="001932AF"/>
    <w:rsid w:val="00194D43"/>
    <w:rsid w:val="00195403"/>
    <w:rsid w:val="001A3489"/>
    <w:rsid w:val="001B7174"/>
    <w:rsid w:val="001F78B1"/>
    <w:rsid w:val="002031CB"/>
    <w:rsid w:val="0021747E"/>
    <w:rsid w:val="0023179D"/>
    <w:rsid w:val="00251DE8"/>
    <w:rsid w:val="0025282D"/>
    <w:rsid w:val="00271412"/>
    <w:rsid w:val="002B2E93"/>
    <w:rsid w:val="002B2FB1"/>
    <w:rsid w:val="002C3038"/>
    <w:rsid w:val="002C6EB1"/>
    <w:rsid w:val="002D3328"/>
    <w:rsid w:val="002E46BF"/>
    <w:rsid w:val="002F6311"/>
    <w:rsid w:val="00301CBA"/>
    <w:rsid w:val="00307759"/>
    <w:rsid w:val="0031657D"/>
    <w:rsid w:val="003209AD"/>
    <w:rsid w:val="00335CBE"/>
    <w:rsid w:val="00346264"/>
    <w:rsid w:val="00347D34"/>
    <w:rsid w:val="00355E09"/>
    <w:rsid w:val="003629F2"/>
    <w:rsid w:val="00363002"/>
    <w:rsid w:val="003702A9"/>
    <w:rsid w:val="00376480"/>
    <w:rsid w:val="003810BB"/>
    <w:rsid w:val="00383439"/>
    <w:rsid w:val="00387A02"/>
    <w:rsid w:val="00391C3E"/>
    <w:rsid w:val="0039786E"/>
    <w:rsid w:val="003B1425"/>
    <w:rsid w:val="003B367F"/>
    <w:rsid w:val="003B3D8B"/>
    <w:rsid w:val="003C27B7"/>
    <w:rsid w:val="003C2A68"/>
    <w:rsid w:val="003C58A5"/>
    <w:rsid w:val="003C655F"/>
    <w:rsid w:val="003C6770"/>
    <w:rsid w:val="00400B20"/>
    <w:rsid w:val="004101CF"/>
    <w:rsid w:val="00416A7B"/>
    <w:rsid w:val="0042026F"/>
    <w:rsid w:val="00426D7D"/>
    <w:rsid w:val="00427A37"/>
    <w:rsid w:val="004319B6"/>
    <w:rsid w:val="00435EA2"/>
    <w:rsid w:val="004451C4"/>
    <w:rsid w:val="004519D6"/>
    <w:rsid w:val="00460092"/>
    <w:rsid w:val="004838A5"/>
    <w:rsid w:val="00485D4F"/>
    <w:rsid w:val="004A5279"/>
    <w:rsid w:val="004B2DF3"/>
    <w:rsid w:val="004E10BE"/>
    <w:rsid w:val="00516737"/>
    <w:rsid w:val="005202CE"/>
    <w:rsid w:val="00522794"/>
    <w:rsid w:val="00524C83"/>
    <w:rsid w:val="00546D6B"/>
    <w:rsid w:val="00563368"/>
    <w:rsid w:val="00572AFC"/>
    <w:rsid w:val="00573D2B"/>
    <w:rsid w:val="00577DD0"/>
    <w:rsid w:val="00584C20"/>
    <w:rsid w:val="00585EC1"/>
    <w:rsid w:val="00596CA6"/>
    <w:rsid w:val="005B0EA3"/>
    <w:rsid w:val="005B7274"/>
    <w:rsid w:val="00601D86"/>
    <w:rsid w:val="0060541F"/>
    <w:rsid w:val="00606178"/>
    <w:rsid w:val="00624C85"/>
    <w:rsid w:val="006330B5"/>
    <w:rsid w:val="006352E3"/>
    <w:rsid w:val="00637CA9"/>
    <w:rsid w:val="00641F1C"/>
    <w:rsid w:val="00654EA9"/>
    <w:rsid w:val="00670183"/>
    <w:rsid w:val="00674090"/>
    <w:rsid w:val="00684A73"/>
    <w:rsid w:val="00687263"/>
    <w:rsid w:val="00692FF5"/>
    <w:rsid w:val="00693127"/>
    <w:rsid w:val="00696C5B"/>
    <w:rsid w:val="006A4CDC"/>
    <w:rsid w:val="006A5DE8"/>
    <w:rsid w:val="006B027B"/>
    <w:rsid w:val="006B2F11"/>
    <w:rsid w:val="006B30F5"/>
    <w:rsid w:val="006E62D9"/>
    <w:rsid w:val="006E7263"/>
    <w:rsid w:val="00702A24"/>
    <w:rsid w:val="00711108"/>
    <w:rsid w:val="007172D6"/>
    <w:rsid w:val="00737932"/>
    <w:rsid w:val="007405AD"/>
    <w:rsid w:val="00755A4E"/>
    <w:rsid w:val="00756ABC"/>
    <w:rsid w:val="00761669"/>
    <w:rsid w:val="00793849"/>
    <w:rsid w:val="00795E40"/>
    <w:rsid w:val="007B3D02"/>
    <w:rsid w:val="007C157E"/>
    <w:rsid w:val="007C4840"/>
    <w:rsid w:val="007D619D"/>
    <w:rsid w:val="007D6BC0"/>
    <w:rsid w:val="007F0264"/>
    <w:rsid w:val="0082681E"/>
    <w:rsid w:val="0084306E"/>
    <w:rsid w:val="00843F78"/>
    <w:rsid w:val="00853C0B"/>
    <w:rsid w:val="00862DB6"/>
    <w:rsid w:val="00885D59"/>
    <w:rsid w:val="00896908"/>
    <w:rsid w:val="00896D4F"/>
    <w:rsid w:val="008B6CF9"/>
    <w:rsid w:val="008C4434"/>
    <w:rsid w:val="008C73E7"/>
    <w:rsid w:val="008D5A6F"/>
    <w:rsid w:val="008E1EA6"/>
    <w:rsid w:val="008E7667"/>
    <w:rsid w:val="008F600B"/>
    <w:rsid w:val="00920145"/>
    <w:rsid w:val="00923B1F"/>
    <w:rsid w:val="00924B6E"/>
    <w:rsid w:val="009423E9"/>
    <w:rsid w:val="00944BD2"/>
    <w:rsid w:val="00947220"/>
    <w:rsid w:val="009551EA"/>
    <w:rsid w:val="00957419"/>
    <w:rsid w:val="00964336"/>
    <w:rsid w:val="00972F64"/>
    <w:rsid w:val="00990349"/>
    <w:rsid w:val="009A1361"/>
    <w:rsid w:val="009A5C90"/>
    <w:rsid w:val="009A7B2D"/>
    <w:rsid w:val="009B6C94"/>
    <w:rsid w:val="009E28BB"/>
    <w:rsid w:val="00A03C4D"/>
    <w:rsid w:val="00A133F6"/>
    <w:rsid w:val="00A264AA"/>
    <w:rsid w:val="00A35710"/>
    <w:rsid w:val="00A40E5F"/>
    <w:rsid w:val="00A428AF"/>
    <w:rsid w:val="00A617B4"/>
    <w:rsid w:val="00A644A6"/>
    <w:rsid w:val="00A66DDB"/>
    <w:rsid w:val="00A70B52"/>
    <w:rsid w:val="00A81D06"/>
    <w:rsid w:val="00A8535F"/>
    <w:rsid w:val="00AA516C"/>
    <w:rsid w:val="00AD03E6"/>
    <w:rsid w:val="00AD2BF0"/>
    <w:rsid w:val="00AD626A"/>
    <w:rsid w:val="00AD6941"/>
    <w:rsid w:val="00AE0A52"/>
    <w:rsid w:val="00AE5E17"/>
    <w:rsid w:val="00AF7C1E"/>
    <w:rsid w:val="00B065CF"/>
    <w:rsid w:val="00B207F4"/>
    <w:rsid w:val="00B21302"/>
    <w:rsid w:val="00B2644C"/>
    <w:rsid w:val="00B365FC"/>
    <w:rsid w:val="00B453FB"/>
    <w:rsid w:val="00B4574A"/>
    <w:rsid w:val="00B46B72"/>
    <w:rsid w:val="00B66F7E"/>
    <w:rsid w:val="00B70BDD"/>
    <w:rsid w:val="00B70EA5"/>
    <w:rsid w:val="00B82D9D"/>
    <w:rsid w:val="00B92D43"/>
    <w:rsid w:val="00BA1E05"/>
    <w:rsid w:val="00BB00EA"/>
    <w:rsid w:val="00BB05F2"/>
    <w:rsid w:val="00BB2626"/>
    <w:rsid w:val="00BD41E8"/>
    <w:rsid w:val="00BE55A4"/>
    <w:rsid w:val="00BF3DEC"/>
    <w:rsid w:val="00BF41A6"/>
    <w:rsid w:val="00C01CE5"/>
    <w:rsid w:val="00C0754C"/>
    <w:rsid w:val="00C12C95"/>
    <w:rsid w:val="00C13A5E"/>
    <w:rsid w:val="00C13E97"/>
    <w:rsid w:val="00C32A83"/>
    <w:rsid w:val="00C350D0"/>
    <w:rsid w:val="00C45439"/>
    <w:rsid w:val="00C55201"/>
    <w:rsid w:val="00C56840"/>
    <w:rsid w:val="00C61C20"/>
    <w:rsid w:val="00C72971"/>
    <w:rsid w:val="00C76601"/>
    <w:rsid w:val="00C77AAD"/>
    <w:rsid w:val="00C94BAB"/>
    <w:rsid w:val="00CB1EF2"/>
    <w:rsid w:val="00CB6639"/>
    <w:rsid w:val="00CC3DD6"/>
    <w:rsid w:val="00CD2068"/>
    <w:rsid w:val="00CD4309"/>
    <w:rsid w:val="00CD4E31"/>
    <w:rsid w:val="00CF2961"/>
    <w:rsid w:val="00CF5BAF"/>
    <w:rsid w:val="00D0041F"/>
    <w:rsid w:val="00D117E9"/>
    <w:rsid w:val="00D6283C"/>
    <w:rsid w:val="00D657C4"/>
    <w:rsid w:val="00D82C45"/>
    <w:rsid w:val="00DA6288"/>
    <w:rsid w:val="00DC391F"/>
    <w:rsid w:val="00DD6B51"/>
    <w:rsid w:val="00DF0763"/>
    <w:rsid w:val="00DF0F57"/>
    <w:rsid w:val="00DF67E8"/>
    <w:rsid w:val="00E15BD1"/>
    <w:rsid w:val="00E21465"/>
    <w:rsid w:val="00E2659E"/>
    <w:rsid w:val="00E33CDB"/>
    <w:rsid w:val="00E36423"/>
    <w:rsid w:val="00E377FA"/>
    <w:rsid w:val="00E5496F"/>
    <w:rsid w:val="00E81004"/>
    <w:rsid w:val="00E81C95"/>
    <w:rsid w:val="00E8736A"/>
    <w:rsid w:val="00E87890"/>
    <w:rsid w:val="00EA1875"/>
    <w:rsid w:val="00EA4C2A"/>
    <w:rsid w:val="00EA7033"/>
    <w:rsid w:val="00EB4B4B"/>
    <w:rsid w:val="00EC2E73"/>
    <w:rsid w:val="00EE4825"/>
    <w:rsid w:val="00EE6275"/>
    <w:rsid w:val="00EF27AF"/>
    <w:rsid w:val="00EF4B6B"/>
    <w:rsid w:val="00EF4B84"/>
    <w:rsid w:val="00F10A32"/>
    <w:rsid w:val="00F35D89"/>
    <w:rsid w:val="00F60C60"/>
    <w:rsid w:val="00F6151A"/>
    <w:rsid w:val="00F61BB7"/>
    <w:rsid w:val="00F849FF"/>
    <w:rsid w:val="00F965A4"/>
    <w:rsid w:val="00FA2578"/>
    <w:rsid w:val="00FA6E26"/>
    <w:rsid w:val="00FA7CFA"/>
    <w:rsid w:val="00FB0FA9"/>
    <w:rsid w:val="00FB4284"/>
    <w:rsid w:val="00FC64E7"/>
    <w:rsid w:val="00FD0FD8"/>
    <w:rsid w:val="00FD3805"/>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B9E29"/>
  <w15:docId w15:val="{1B5268BB-354B-4E68-ABBE-7DC82EDE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617B4"/>
    <w:pPr>
      <w:widowControl w:val="0"/>
      <w:autoSpaceDE w:val="0"/>
      <w:autoSpaceDN w:val="0"/>
    </w:pPr>
    <w:rPr>
      <w:rFonts w:eastAsiaTheme="minorEastAsia"/>
      <w:sz w:val="24"/>
      <w:szCs w:val="22"/>
    </w:rPr>
  </w:style>
  <w:style w:type="paragraph" w:customStyle="1" w:styleId="ConsPlusTitle">
    <w:name w:val="ConsPlusTitle"/>
    <w:rsid w:val="00A617B4"/>
    <w:pPr>
      <w:widowControl w:val="0"/>
      <w:autoSpaceDE w:val="0"/>
      <w:autoSpaceDN w:val="0"/>
    </w:pPr>
    <w:rPr>
      <w:rFonts w:ascii="Arial" w:eastAsiaTheme="minorEastAsia"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Татьяна Алатырева</cp:lastModifiedBy>
  <cp:revision>2</cp:revision>
  <cp:lastPrinted>2025-05-26T08:02:00Z</cp:lastPrinted>
  <dcterms:created xsi:type="dcterms:W3CDTF">2025-05-27T13:56:00Z</dcterms:created>
  <dcterms:modified xsi:type="dcterms:W3CDTF">2025-05-27T13:56:00Z</dcterms:modified>
</cp:coreProperties>
</file>