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D46BB3" w:rsidTr="00CE6D89">
        <w:trPr>
          <w:trHeight w:val="1221"/>
        </w:trPr>
        <w:tc>
          <w:tcPr>
            <w:tcW w:w="4400" w:type="dxa"/>
            <w:hideMark/>
          </w:tcPr>
          <w:p w:rsidR="00CE6D89" w:rsidRPr="00D46BB3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46BB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D46BB3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BB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D46BB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BB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D46BB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6BB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6BB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D46BB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6BB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D46BB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D46BB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D46BB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D46BB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6B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46BB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46B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46BB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D46BB3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6BB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D46BB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CE6D89" w:rsidRPr="00D46BB3" w:rsidTr="00CE6D89">
        <w:trPr>
          <w:trHeight w:val="387"/>
        </w:trPr>
        <w:tc>
          <w:tcPr>
            <w:tcW w:w="9800" w:type="dxa"/>
            <w:gridSpan w:val="4"/>
          </w:tcPr>
          <w:p w:rsidR="00CE6D89" w:rsidRPr="00D46BB3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6BB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D46BB3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D46BB3" w:rsidRDefault="00CE6D89">
            <w:pPr>
              <w:rPr>
                <w:rFonts w:ascii="Arial" w:hAnsi="Arial" w:cs="Arial"/>
                <w:sz w:val="24"/>
                <w:szCs w:val="24"/>
              </w:rPr>
            </w:pPr>
            <w:r w:rsidRPr="00D46BB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D46BB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BB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D46BB3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CE6D89" w:rsidRPr="00D46BB3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D46BB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E6D89" w:rsidRPr="00D46BB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46BB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E6D89" w:rsidRPr="00D46BB3" w:rsidRDefault="00CE6D89" w:rsidP="00D46B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О</w:t>
      </w:r>
      <w:r w:rsidR="00965965" w:rsidRPr="00D46BB3">
        <w:rPr>
          <w:rFonts w:ascii="Arial" w:hAnsi="Arial" w:cs="Arial"/>
          <w:sz w:val="24"/>
          <w:szCs w:val="24"/>
        </w:rPr>
        <w:t>б утверждении перечня</w:t>
      </w:r>
      <w:r w:rsidRPr="00D46BB3">
        <w:rPr>
          <w:rFonts w:ascii="Arial" w:hAnsi="Arial" w:cs="Arial"/>
          <w:sz w:val="24"/>
          <w:szCs w:val="24"/>
        </w:rPr>
        <w:t xml:space="preserve"> должностных лиц,</w:t>
      </w:r>
    </w:p>
    <w:p w:rsidR="00965965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уполномоченных составлять протоколы об</w:t>
      </w:r>
    </w:p>
    <w:p w:rsidR="00965965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административных правонарушениях на тер</w:t>
      </w:r>
      <w:r w:rsidR="00965965" w:rsidRPr="00D46BB3">
        <w:rPr>
          <w:rFonts w:ascii="Arial" w:hAnsi="Arial" w:cs="Arial"/>
          <w:sz w:val="24"/>
          <w:szCs w:val="24"/>
        </w:rPr>
        <w:t>-</w:t>
      </w: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D46BB3">
        <w:rPr>
          <w:rFonts w:ascii="Arial" w:hAnsi="Arial" w:cs="Arial"/>
          <w:sz w:val="24"/>
          <w:szCs w:val="24"/>
        </w:rPr>
        <w:t>ритории</w:t>
      </w:r>
      <w:proofErr w:type="spellEnd"/>
      <w:r w:rsidR="00965965" w:rsidRPr="00D46BB3">
        <w:rPr>
          <w:rFonts w:ascii="Arial" w:hAnsi="Arial" w:cs="Arial"/>
          <w:sz w:val="24"/>
          <w:szCs w:val="24"/>
        </w:rPr>
        <w:t xml:space="preserve"> </w:t>
      </w:r>
      <w:r w:rsidRPr="00D46BB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6BB3" w:rsidRDefault="006D42A3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Руководствуясь Кодексом Республики Татарстан об административных правонарушениях от 19.12.2006</w:t>
      </w:r>
      <w:r w:rsidR="00785D63" w:rsidRPr="00D46BB3">
        <w:rPr>
          <w:rFonts w:ascii="Arial" w:hAnsi="Arial" w:cs="Arial"/>
          <w:sz w:val="24"/>
          <w:szCs w:val="24"/>
        </w:rPr>
        <w:t xml:space="preserve"> №80-ЗРТ, в</w:t>
      </w:r>
      <w:r w:rsidR="00CE6D89" w:rsidRPr="00D46BB3">
        <w:rPr>
          <w:rFonts w:ascii="Arial" w:hAnsi="Arial" w:cs="Arial"/>
          <w:sz w:val="24"/>
          <w:szCs w:val="24"/>
        </w:rPr>
        <w:t xml:space="preserve"> соответствии с Законом Республики Татарстан от 30.07.2010 №60-ЗРТ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785D63" w:rsidRPr="00D46BB3">
        <w:rPr>
          <w:rFonts w:ascii="Arial" w:hAnsi="Arial" w:cs="Arial"/>
          <w:sz w:val="24"/>
          <w:szCs w:val="24"/>
        </w:rPr>
        <w:t>, Законом Республики Татарстан от 25.04.2015 №33-ЗРТ «Об общественных пунктах охраны порядка в Республике Татарстан»</w:t>
      </w:r>
      <w:r w:rsidR="00CE6D89" w:rsidRPr="00D46BB3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CE6D89" w:rsidRPr="00D46BB3" w:rsidRDefault="00CE6D89" w:rsidP="00CE6D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П О С Т А Н О В Л Я Е Т:</w:t>
      </w:r>
    </w:p>
    <w:p w:rsidR="00CE6D89" w:rsidRPr="00D46BB3" w:rsidRDefault="00CE6D89" w:rsidP="001025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 xml:space="preserve">1. </w:t>
      </w:r>
      <w:r w:rsidR="00965965" w:rsidRPr="00D46BB3">
        <w:rPr>
          <w:rFonts w:ascii="Arial" w:hAnsi="Arial" w:cs="Arial"/>
          <w:sz w:val="24"/>
          <w:szCs w:val="24"/>
        </w:rPr>
        <w:t>Утвердить</w:t>
      </w:r>
      <w:r w:rsidR="00C46517" w:rsidRPr="00D46BB3">
        <w:rPr>
          <w:rFonts w:ascii="Arial" w:hAnsi="Arial" w:cs="Arial"/>
          <w:sz w:val="24"/>
          <w:szCs w:val="24"/>
        </w:rPr>
        <w:t xml:space="preserve"> прилагаемый</w:t>
      </w:r>
      <w:r w:rsidRPr="00D46BB3">
        <w:rPr>
          <w:rFonts w:ascii="Arial" w:hAnsi="Arial" w:cs="Arial"/>
          <w:sz w:val="24"/>
          <w:szCs w:val="24"/>
        </w:rPr>
        <w:t xml:space="preserve"> перечень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</w:t>
      </w:r>
      <w:r w:rsidR="00102555" w:rsidRPr="00D46BB3">
        <w:rPr>
          <w:rFonts w:ascii="Arial" w:hAnsi="Arial" w:cs="Arial"/>
          <w:sz w:val="24"/>
          <w:szCs w:val="24"/>
        </w:rPr>
        <w:t>2.1.</w:t>
      </w:r>
      <w:r w:rsidR="00102555" w:rsidRPr="00D46BB3">
        <w:rPr>
          <w:rFonts w:ascii="Arial" w:eastAsiaTheme="minorHAnsi" w:hAnsi="Arial" w:cs="Arial"/>
          <w:sz w:val="24"/>
          <w:szCs w:val="24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r w:rsidRPr="00D46BB3">
        <w:rPr>
          <w:rFonts w:ascii="Arial" w:hAnsi="Arial" w:cs="Arial"/>
          <w:sz w:val="24"/>
          <w:szCs w:val="24"/>
        </w:rPr>
        <w:t>2.</w:t>
      </w:r>
      <w:r w:rsidR="00DD49F7" w:rsidRPr="00D46BB3">
        <w:rPr>
          <w:rFonts w:ascii="Arial" w:hAnsi="Arial" w:cs="Arial"/>
          <w:sz w:val="24"/>
          <w:szCs w:val="24"/>
        </w:rPr>
        <w:t>4</w:t>
      </w:r>
      <w:r w:rsidR="00965965" w:rsidRPr="00D46BB3">
        <w:rPr>
          <w:rFonts w:ascii="Arial" w:hAnsi="Arial" w:cs="Arial"/>
          <w:sz w:val="24"/>
          <w:szCs w:val="24"/>
        </w:rPr>
        <w:t>.-2.7</w:t>
      </w:r>
      <w:r w:rsidRPr="00D46BB3">
        <w:rPr>
          <w:rFonts w:ascii="Arial" w:hAnsi="Arial" w:cs="Arial"/>
          <w:sz w:val="24"/>
          <w:szCs w:val="24"/>
        </w:rPr>
        <w:t>.,</w:t>
      </w:r>
      <w:r w:rsidR="00DD49F7" w:rsidRPr="00D46BB3">
        <w:rPr>
          <w:rFonts w:ascii="Arial" w:hAnsi="Arial" w:cs="Arial"/>
          <w:sz w:val="24"/>
          <w:szCs w:val="24"/>
        </w:rPr>
        <w:t xml:space="preserve"> </w:t>
      </w:r>
      <w:r w:rsidR="00965965" w:rsidRPr="00D46BB3">
        <w:rPr>
          <w:rFonts w:ascii="Arial" w:hAnsi="Arial" w:cs="Arial"/>
          <w:sz w:val="24"/>
          <w:szCs w:val="24"/>
        </w:rPr>
        <w:t>2.12., 2.13</w:t>
      </w:r>
      <w:r w:rsidR="00DD49F7" w:rsidRPr="00D46BB3">
        <w:rPr>
          <w:rFonts w:ascii="Arial" w:hAnsi="Arial" w:cs="Arial"/>
          <w:sz w:val="24"/>
          <w:szCs w:val="24"/>
        </w:rPr>
        <w:t>., частью 2 статьи 2.15.,</w:t>
      </w:r>
      <w:r w:rsidRPr="00D46BB3">
        <w:rPr>
          <w:rFonts w:ascii="Arial" w:hAnsi="Arial" w:cs="Arial"/>
          <w:sz w:val="24"/>
          <w:szCs w:val="24"/>
        </w:rPr>
        <w:t xml:space="preserve"> </w:t>
      </w:r>
      <w:r w:rsidR="00965965" w:rsidRPr="00D46BB3">
        <w:rPr>
          <w:rFonts w:ascii="Arial" w:hAnsi="Arial" w:cs="Arial"/>
          <w:sz w:val="24"/>
          <w:szCs w:val="24"/>
        </w:rPr>
        <w:t>2.17., 2.19.</w:t>
      </w:r>
      <w:r w:rsidR="00884C9F" w:rsidRPr="00D46BB3">
        <w:rPr>
          <w:rFonts w:ascii="Arial" w:hAnsi="Arial" w:cs="Arial"/>
          <w:sz w:val="24"/>
          <w:szCs w:val="24"/>
        </w:rPr>
        <w:t>-2.21</w:t>
      </w:r>
      <w:r w:rsidR="00965965" w:rsidRPr="00D46BB3">
        <w:rPr>
          <w:rFonts w:ascii="Arial" w:hAnsi="Arial" w:cs="Arial"/>
          <w:sz w:val="24"/>
          <w:szCs w:val="24"/>
        </w:rPr>
        <w:t xml:space="preserve">., </w:t>
      </w:r>
      <w:r w:rsidR="00DD49F7" w:rsidRPr="00D46BB3">
        <w:rPr>
          <w:rFonts w:ascii="Arial" w:hAnsi="Arial" w:cs="Arial"/>
          <w:sz w:val="24"/>
          <w:szCs w:val="24"/>
        </w:rPr>
        <w:t>3.2.-</w:t>
      </w:r>
      <w:r w:rsidR="00965965" w:rsidRPr="00D46BB3">
        <w:rPr>
          <w:rFonts w:ascii="Arial" w:hAnsi="Arial" w:cs="Arial"/>
          <w:sz w:val="24"/>
          <w:szCs w:val="24"/>
        </w:rPr>
        <w:t>3.6</w:t>
      </w:r>
      <w:r w:rsidRPr="00D46BB3">
        <w:rPr>
          <w:rFonts w:ascii="Arial" w:hAnsi="Arial" w:cs="Arial"/>
          <w:sz w:val="24"/>
          <w:szCs w:val="24"/>
        </w:rPr>
        <w:t>.,</w:t>
      </w:r>
      <w:r w:rsidR="00965965" w:rsidRPr="00D46BB3">
        <w:rPr>
          <w:rFonts w:ascii="Arial" w:hAnsi="Arial" w:cs="Arial"/>
          <w:sz w:val="24"/>
          <w:szCs w:val="24"/>
        </w:rPr>
        <w:t xml:space="preserve"> 3.8., </w:t>
      </w:r>
      <w:r w:rsidR="00B86E4D" w:rsidRPr="00D46BB3">
        <w:rPr>
          <w:rFonts w:ascii="Arial" w:hAnsi="Arial" w:cs="Arial"/>
          <w:sz w:val="24"/>
          <w:szCs w:val="24"/>
        </w:rPr>
        <w:t xml:space="preserve">3.10. </w:t>
      </w:r>
      <w:r w:rsidR="00DD49F7" w:rsidRPr="00D46BB3">
        <w:rPr>
          <w:rFonts w:ascii="Arial" w:hAnsi="Arial" w:cs="Arial"/>
          <w:sz w:val="24"/>
          <w:szCs w:val="24"/>
        </w:rPr>
        <w:t>(в отношении граждан), 3.11., 3.14.-3.17., 4.4., 5.1., 5.2.</w:t>
      </w:r>
      <w:r w:rsidR="00C46517" w:rsidRPr="00D46BB3">
        <w:rPr>
          <w:rFonts w:ascii="Arial" w:hAnsi="Arial" w:cs="Arial"/>
          <w:sz w:val="24"/>
          <w:szCs w:val="24"/>
        </w:rPr>
        <w:t xml:space="preserve"> (в отношении муниципальных перевозок, осуществляемых на территории Бавлинского муниципального района),</w:t>
      </w:r>
      <w:r w:rsidRPr="00D46BB3">
        <w:rPr>
          <w:rFonts w:ascii="Arial" w:hAnsi="Arial" w:cs="Arial"/>
          <w:sz w:val="24"/>
          <w:szCs w:val="24"/>
        </w:rPr>
        <w:t xml:space="preserve"> 5.6. </w:t>
      </w:r>
      <w:r w:rsidR="00C46517" w:rsidRPr="00D46BB3">
        <w:rPr>
          <w:rFonts w:ascii="Arial" w:hAnsi="Arial" w:cs="Arial"/>
          <w:sz w:val="24"/>
          <w:szCs w:val="24"/>
        </w:rPr>
        <w:t xml:space="preserve">(в отношении муниципальных перевозок, осуществляемых на территории Бавлинского муниципального района), </w:t>
      </w:r>
      <w:r w:rsidRPr="00D46BB3">
        <w:rPr>
          <w:rFonts w:ascii="Arial" w:hAnsi="Arial" w:cs="Arial"/>
          <w:sz w:val="24"/>
          <w:szCs w:val="24"/>
        </w:rPr>
        <w:t>Кодекса Республики Татарстан об административных правонарушениях, на территории Бавлинского муниципаль</w:t>
      </w:r>
      <w:r w:rsidR="00C46517" w:rsidRPr="00D46BB3">
        <w:rPr>
          <w:rFonts w:ascii="Arial" w:hAnsi="Arial" w:cs="Arial"/>
          <w:sz w:val="24"/>
          <w:szCs w:val="24"/>
        </w:rPr>
        <w:t>ного района</w:t>
      </w:r>
      <w:r w:rsidRPr="00D46BB3">
        <w:rPr>
          <w:rFonts w:ascii="Arial" w:hAnsi="Arial" w:cs="Arial"/>
          <w:sz w:val="24"/>
          <w:szCs w:val="24"/>
        </w:rPr>
        <w:t>.</w:t>
      </w:r>
    </w:p>
    <w:p w:rsidR="00CE6D89" w:rsidRPr="00D46BB3" w:rsidRDefault="00CE6D89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Бавлинского муниципального района от </w:t>
      </w:r>
      <w:r w:rsidR="00440869" w:rsidRPr="00D46BB3">
        <w:rPr>
          <w:rFonts w:ascii="Arial" w:hAnsi="Arial" w:cs="Arial"/>
          <w:sz w:val="24"/>
          <w:szCs w:val="24"/>
        </w:rPr>
        <w:t>26.01.2023</w:t>
      </w:r>
      <w:r w:rsidRPr="00D46BB3">
        <w:rPr>
          <w:rFonts w:ascii="Arial" w:hAnsi="Arial" w:cs="Arial"/>
          <w:sz w:val="24"/>
          <w:szCs w:val="24"/>
        </w:rPr>
        <w:t xml:space="preserve"> №</w:t>
      </w:r>
      <w:r w:rsidR="00440869" w:rsidRPr="00D46BB3">
        <w:rPr>
          <w:rFonts w:ascii="Arial" w:hAnsi="Arial" w:cs="Arial"/>
          <w:sz w:val="24"/>
          <w:szCs w:val="24"/>
        </w:rPr>
        <w:t>10</w:t>
      </w:r>
      <w:r w:rsidR="00DD49F7" w:rsidRPr="00D46BB3">
        <w:rPr>
          <w:rFonts w:ascii="Arial" w:hAnsi="Arial" w:cs="Arial"/>
          <w:sz w:val="24"/>
          <w:szCs w:val="24"/>
        </w:rPr>
        <w:t xml:space="preserve"> </w:t>
      </w:r>
      <w:r w:rsidRPr="00D46BB3">
        <w:rPr>
          <w:rFonts w:ascii="Arial" w:hAnsi="Arial" w:cs="Arial"/>
          <w:sz w:val="24"/>
          <w:szCs w:val="24"/>
        </w:rPr>
        <w:t>«О</w:t>
      </w:r>
      <w:r w:rsidR="00440869" w:rsidRPr="00D46BB3">
        <w:rPr>
          <w:rFonts w:ascii="Arial" w:hAnsi="Arial" w:cs="Arial"/>
          <w:sz w:val="24"/>
          <w:szCs w:val="24"/>
        </w:rPr>
        <w:t>б утверждении перечня</w:t>
      </w:r>
      <w:r w:rsidRPr="00D46BB3">
        <w:rPr>
          <w:rFonts w:ascii="Arial" w:hAnsi="Arial" w:cs="Arial"/>
          <w:sz w:val="24"/>
          <w:szCs w:val="24"/>
        </w:rPr>
        <w:t xml:space="preserve"> </w:t>
      </w:r>
      <w:r w:rsidRPr="00D46BB3">
        <w:rPr>
          <w:rFonts w:ascii="Arial" w:hAnsi="Arial" w:cs="Arial"/>
          <w:sz w:val="24"/>
          <w:szCs w:val="24"/>
        </w:rPr>
        <w:lastRenderedPageBreak/>
        <w:t>должностных лиц, уполномоченных составлять протоколы об административных правонарушениях на территории Бавлинского муниципального района» (с изменениями, внесенными постановлениями от</w:t>
      </w:r>
      <w:r w:rsidR="00012CC4" w:rsidRPr="00D46BB3">
        <w:rPr>
          <w:rFonts w:ascii="Arial" w:hAnsi="Arial" w:cs="Arial"/>
          <w:sz w:val="24"/>
          <w:szCs w:val="24"/>
        </w:rPr>
        <w:t xml:space="preserve"> </w:t>
      </w:r>
      <w:r w:rsidR="00F701C3" w:rsidRPr="00D46BB3">
        <w:rPr>
          <w:rFonts w:ascii="Arial" w:hAnsi="Arial" w:cs="Arial"/>
          <w:sz w:val="24"/>
          <w:szCs w:val="24"/>
        </w:rPr>
        <w:t xml:space="preserve">  28.04.2023 №112, от 24.08.2023 №172, от</w:t>
      </w:r>
      <w:r w:rsidR="00C46517" w:rsidRPr="00D46BB3">
        <w:rPr>
          <w:rFonts w:ascii="Arial" w:hAnsi="Arial" w:cs="Arial"/>
          <w:sz w:val="24"/>
          <w:szCs w:val="24"/>
        </w:rPr>
        <w:t xml:space="preserve"> 09.08.2024 №</w:t>
      </w:r>
      <w:r w:rsidR="00F701C3" w:rsidRPr="00D46BB3">
        <w:rPr>
          <w:rFonts w:ascii="Arial" w:hAnsi="Arial" w:cs="Arial"/>
          <w:sz w:val="24"/>
          <w:szCs w:val="24"/>
        </w:rPr>
        <w:t>106, от 05.11.2024 №149</w:t>
      </w:r>
      <w:r w:rsidRPr="00D46BB3">
        <w:rPr>
          <w:rFonts w:ascii="Arial" w:hAnsi="Arial" w:cs="Arial"/>
          <w:sz w:val="24"/>
          <w:szCs w:val="24"/>
        </w:rPr>
        <w:t>).</w:t>
      </w:r>
    </w:p>
    <w:p w:rsidR="00CE6D89" w:rsidRPr="00D46BB3" w:rsidRDefault="00F2056C" w:rsidP="00CE6D8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>3</w:t>
      </w:r>
      <w:r w:rsidR="00CE6D89" w:rsidRPr="00D46BB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Pr="00D46BB3">
        <w:rPr>
          <w:rFonts w:ascii="Arial" w:hAnsi="Arial" w:cs="Arial"/>
          <w:sz w:val="24"/>
          <w:szCs w:val="24"/>
        </w:rPr>
        <w:t>возложить на управляющего делами Исполнительного комитета Бавлинского муниципального района.</w:t>
      </w:r>
    </w:p>
    <w:p w:rsidR="00CE6D89" w:rsidRPr="00D46BB3" w:rsidRDefault="00CE6D89" w:rsidP="00CE6D8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CE6D89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46BB3">
        <w:rPr>
          <w:rFonts w:ascii="Arial" w:hAnsi="Arial" w:cs="Arial"/>
          <w:sz w:val="24"/>
          <w:szCs w:val="24"/>
        </w:rPr>
        <w:t xml:space="preserve">Бавлинского муниципального района                 </w:t>
      </w:r>
      <w:r w:rsidR="002E57B7" w:rsidRPr="00D46BB3">
        <w:rPr>
          <w:rFonts w:ascii="Arial" w:hAnsi="Arial" w:cs="Arial"/>
          <w:sz w:val="24"/>
          <w:szCs w:val="24"/>
        </w:rPr>
        <w:t xml:space="preserve">               </w:t>
      </w:r>
      <w:r w:rsidR="00D46BB3">
        <w:rPr>
          <w:rFonts w:ascii="Arial" w:hAnsi="Arial" w:cs="Arial"/>
          <w:sz w:val="24"/>
          <w:szCs w:val="24"/>
        </w:rPr>
        <w:t xml:space="preserve">                 </w:t>
      </w:r>
      <w:r w:rsidR="002E57B7" w:rsidRPr="00D46BB3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2E57B7" w:rsidRPr="00D46BB3">
        <w:rPr>
          <w:rFonts w:ascii="Arial" w:hAnsi="Arial" w:cs="Arial"/>
          <w:sz w:val="24"/>
          <w:szCs w:val="24"/>
        </w:rPr>
        <w:t>Д.Л</w:t>
      </w:r>
      <w:proofErr w:type="spellEnd"/>
      <w:r w:rsidR="002E57B7" w:rsidRPr="00D46BB3">
        <w:rPr>
          <w:rFonts w:ascii="Arial" w:hAnsi="Arial" w:cs="Arial"/>
          <w:sz w:val="24"/>
          <w:szCs w:val="24"/>
        </w:rPr>
        <w:t>. Бакиров</w:t>
      </w:r>
    </w:p>
    <w:p w:rsidR="00D46BB3" w:rsidRDefault="00D46BB3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6BB3" w:rsidRPr="00D46BB3" w:rsidRDefault="00D46BB3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D46BB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6BB3" w:rsidRPr="00D46BB3" w:rsidRDefault="00D46BB3" w:rsidP="00D46BB3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УТВЕРЖДЁН</w:t>
      </w:r>
    </w:p>
    <w:p w:rsidR="00D46BB3" w:rsidRPr="00D46BB3" w:rsidRDefault="00D46BB3" w:rsidP="00D46BB3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постановлением</w:t>
      </w:r>
    </w:p>
    <w:p w:rsidR="00D46BB3" w:rsidRPr="00D46BB3" w:rsidRDefault="00D46BB3" w:rsidP="00D46BB3">
      <w:pPr>
        <w:suppressLineNumbers/>
        <w:tabs>
          <w:tab w:val="left" w:pos="9214"/>
        </w:tabs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Исполнительного комитета</w:t>
      </w:r>
    </w:p>
    <w:p w:rsidR="00D46BB3" w:rsidRPr="00D46BB3" w:rsidRDefault="00D46BB3" w:rsidP="00D46BB3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Бавлинского муниципального района</w:t>
      </w:r>
    </w:p>
    <w:p w:rsidR="00D46BB3" w:rsidRPr="00D46BB3" w:rsidRDefault="00D46BB3" w:rsidP="00D46BB3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Перечень</w:t>
      </w: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 xml:space="preserve">должностных лиц, уполномоченных составлять протоколы </w:t>
      </w: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 xml:space="preserve">об административных правонарушениях, предусмотренных статьями </w:t>
      </w: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 xml:space="preserve">Кодекса Республики Татарстан об административных правонарушениях, </w:t>
      </w: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на территории Бавлинского муниципального района</w:t>
      </w:r>
    </w:p>
    <w:p w:rsidR="00D46BB3" w:rsidRPr="00D46BB3" w:rsidRDefault="00D46BB3" w:rsidP="00D46BB3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Статьи КоАП РТ</w:t>
            </w:r>
          </w:p>
          <w:p w:rsidR="00D46BB3" w:rsidRPr="00D46BB3" w:rsidRDefault="00D46BB3" w:rsidP="00D46BB3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Перечень должностных лиц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законодательства Республики Татарстан о языках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2.4.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2.5.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2.6.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2.7.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порядка использования официальных </w:t>
            </w: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символов муниципальных образований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главный специалист юридического отдела Исполнитель-</w:t>
            </w:r>
            <w:proofErr w:type="spell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2.12.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2.13.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юридического отдела Исполнительного комитета Бавлинского муниципального района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2.15. часть 2 КоАП РТ</w:t>
            </w:r>
          </w:p>
          <w:p w:rsidR="00D46BB3" w:rsidRPr="00D46BB3" w:rsidRDefault="00D46BB3" w:rsidP="00D46B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первый заместитель руководителя Исполнительного комитета Бавлинского муниципального района по социальным вопросам;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юридического отдела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2.17.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коронавирусной</w:t>
            </w:r>
            <w:proofErr w:type="spellEnd"/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инфекции (</w:t>
            </w:r>
            <w:proofErr w:type="spellStart"/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val="en-US" w:eastAsia="en-US"/>
              </w:rPr>
              <w:t>COVID</w:t>
            </w:r>
            <w:proofErr w:type="spellEnd"/>
            <w:r w:rsidRPr="00D46BB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-19)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муниципального района по экономическому развитию;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заместитель руководителя Исполнительного комитета Бавлинского муни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ципального района по инфраструк</w:t>
            </w: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турному развитию; 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начальник и главный специалист отдела инфраструктурного развития Исполнительного комитета Бавлинского муниципального района; 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отдела по организации работ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</w:t>
            </w:r>
            <w:proofErr w:type="spell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гра-достроительства</w:t>
            </w:r>
            <w:proofErr w:type="spell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2.19.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Несоблюдение ограничения розничной продажи несовершеннолетним </w:t>
            </w:r>
            <w:proofErr w:type="spell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безалко-гольных</w:t>
            </w:r>
            <w:proofErr w:type="spell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тонизирующих напитков, а также вовлечение </w:t>
            </w: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несовершеннолетних в их потребление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2.20.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2.21.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требований нормативно - правовых актов Республики Татарстан, предусматривающих реализацию мер в рамках режима (уровня базовой готовности)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инфра-структурного развития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3.2.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организации уличной торговли и оказания услуг, связанных с развлечением населения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3.3.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подземных коммуникаций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3.4.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содержания уличного, внутриквартального освещения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3.5.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размещения наружной информации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3.6.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начальник и главный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главный специалист отдела архитектуры и градостроительства Исполнительного комитета Бавлинского </w:t>
            </w:r>
            <w:proofErr w:type="spellStart"/>
            <w:proofErr w:type="gram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муни-ципального</w:t>
            </w:r>
            <w:proofErr w:type="spellEnd"/>
            <w:proofErr w:type="gram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3.8.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покоя граждан и тишины в ночное время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3.10.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экономики и территориального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архитектуры и градостроительства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отдела опеки и попечительства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3.11.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3.14.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Нарушение общественного порядка при посещении культурно-зрелищных мероприятий 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3.15.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Приставание к гражданам в общественных местах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3.15</w:t>
            </w:r>
            <w:r w:rsidRPr="00D46BB3">
              <w:rPr>
                <w:rFonts w:ascii="Arial" w:eastAsiaTheme="minorHAnsi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Навязывание товаров и услуг в общественных местах 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3.16.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пользования платными муниципальными парковками (парковочными местами)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Статья 3.17.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Размещение транспортных средств на озелененных территориях, детских и спортивных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4.4.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начальник земельного отдела и руководитель </w:t>
            </w:r>
            <w:proofErr w:type="spell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МКУ</w:t>
            </w:r>
            <w:proofErr w:type="spell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«Палата имущественных и земельных отношений </w:t>
            </w:r>
            <w:proofErr w:type="spellStart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Бав-линского</w:t>
            </w:r>
            <w:proofErr w:type="spellEnd"/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района Республики Татарстан»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5.1.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подтверждения пассажиром оплаты проезда, перевозки детей, следующих вместе с ним, а также подтверждения пассажиром права на бесплатный или льготный проезд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5.2.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Нарушение порядка подтверждения пассажиром оплаты перевозки багажа, провоза ручной клади (в отношении муниципальных перевозок, осуществляемых на территории Бавлинского муниципального района)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  <w:tr w:rsidR="00D46BB3" w:rsidRPr="00D46BB3" w:rsidTr="00082D56">
        <w:tc>
          <w:tcPr>
            <w:tcW w:w="3794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Статья 5.6. КоАП РТ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Отказ в предоставлении проезда пассажиру (в отношении муниципальных перевозок, осуществляемых на территории Бавлинского муниципального района)</w:t>
            </w:r>
          </w:p>
        </w:tc>
        <w:tc>
          <w:tcPr>
            <w:tcW w:w="6379" w:type="dxa"/>
          </w:tcPr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главный специалист и ведущий специалист отдела инфраструктурного развития Исполнительного комитета Бавлинского муниципального района;</w:t>
            </w:r>
          </w:p>
          <w:p w:rsidR="00D46BB3" w:rsidRPr="00D46BB3" w:rsidRDefault="00D46BB3" w:rsidP="00D46BB3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46BB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</w:tc>
      </w:tr>
    </w:tbl>
    <w:p w:rsidR="00D46BB3" w:rsidRPr="00D46BB3" w:rsidRDefault="00D46BB3" w:rsidP="00D46BB3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D46BB3" w:rsidRPr="00D46BB3" w:rsidRDefault="00D46BB3" w:rsidP="00D46BB3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D46BB3" w:rsidRPr="00D46BB3" w:rsidRDefault="00D46BB3" w:rsidP="00D46BB3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D46BB3" w:rsidRPr="00D46BB3" w:rsidRDefault="00D46BB3" w:rsidP="00D46BB3">
      <w:pPr>
        <w:spacing w:after="200"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D46BB3">
        <w:rPr>
          <w:rFonts w:ascii="Arial" w:eastAsiaTheme="minorHAnsi" w:hAnsi="Arial" w:cs="Arial"/>
          <w:sz w:val="24"/>
          <w:szCs w:val="24"/>
          <w:lang w:eastAsia="en-US"/>
        </w:rPr>
        <w:t>____________________________</w:t>
      </w:r>
    </w:p>
    <w:p w:rsidR="007E1B11" w:rsidRPr="00D46BB3" w:rsidRDefault="0085092D">
      <w:pPr>
        <w:rPr>
          <w:rFonts w:ascii="Arial" w:hAnsi="Arial" w:cs="Arial"/>
          <w:sz w:val="24"/>
          <w:szCs w:val="24"/>
        </w:rPr>
      </w:pPr>
    </w:p>
    <w:p w:rsidR="00D46BB3" w:rsidRPr="00D46BB3" w:rsidRDefault="00D46BB3">
      <w:pPr>
        <w:rPr>
          <w:rFonts w:ascii="Arial" w:hAnsi="Arial" w:cs="Arial"/>
          <w:sz w:val="24"/>
          <w:szCs w:val="24"/>
        </w:rPr>
      </w:pPr>
    </w:p>
    <w:sectPr w:rsidR="00D46BB3" w:rsidRPr="00D46BB3" w:rsidSect="00D46BB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2D" w:rsidRDefault="0085092D" w:rsidP="00F93624">
      <w:r>
        <w:separator/>
      </w:r>
    </w:p>
  </w:endnote>
  <w:endnote w:type="continuationSeparator" w:id="0">
    <w:p w:rsidR="0085092D" w:rsidRDefault="0085092D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2D" w:rsidRDefault="0085092D" w:rsidP="00F93624">
      <w:r>
        <w:separator/>
      </w:r>
    </w:p>
  </w:footnote>
  <w:footnote w:type="continuationSeparator" w:id="0">
    <w:p w:rsidR="0085092D" w:rsidRDefault="0085092D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416">
          <w:rPr>
            <w:noProof/>
          </w:rPr>
          <w:t>6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2CC4"/>
    <w:rsid w:val="000320B9"/>
    <w:rsid w:val="00102555"/>
    <w:rsid w:val="00180268"/>
    <w:rsid w:val="001923D3"/>
    <w:rsid w:val="002E57B7"/>
    <w:rsid w:val="00312836"/>
    <w:rsid w:val="00371765"/>
    <w:rsid w:val="00440869"/>
    <w:rsid w:val="005A540B"/>
    <w:rsid w:val="005C301C"/>
    <w:rsid w:val="006D42A3"/>
    <w:rsid w:val="00785D63"/>
    <w:rsid w:val="007A3BD8"/>
    <w:rsid w:val="007D3C9E"/>
    <w:rsid w:val="008302D3"/>
    <w:rsid w:val="0085092D"/>
    <w:rsid w:val="00884C9F"/>
    <w:rsid w:val="008A1416"/>
    <w:rsid w:val="008B23D4"/>
    <w:rsid w:val="00965965"/>
    <w:rsid w:val="00A6756D"/>
    <w:rsid w:val="00AF60AD"/>
    <w:rsid w:val="00B86E4D"/>
    <w:rsid w:val="00C46517"/>
    <w:rsid w:val="00CE6D89"/>
    <w:rsid w:val="00D46BB3"/>
    <w:rsid w:val="00D61B23"/>
    <w:rsid w:val="00D8155B"/>
    <w:rsid w:val="00DD49F7"/>
    <w:rsid w:val="00DF5576"/>
    <w:rsid w:val="00E03D3E"/>
    <w:rsid w:val="00F2056C"/>
    <w:rsid w:val="00F701C3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996A"/>
  <w15:docId w15:val="{DBD844DB-0E41-4889-A60D-070554DB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D4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9299-5932-4150-8703-67D9AB94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2018-12-14T11:10:00Z</cp:lastPrinted>
  <dcterms:created xsi:type="dcterms:W3CDTF">2025-02-11T10:33:00Z</dcterms:created>
  <dcterms:modified xsi:type="dcterms:W3CDTF">2025-02-11T10:33:00Z</dcterms:modified>
</cp:coreProperties>
</file>