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A0155F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   </w:t>
                  </w:r>
                  <w:r w:rsidR="00714796">
                    <w:rPr>
                      <w:lang w:val="tt-RU"/>
                    </w:rPr>
                    <w:t xml:space="preserve">ноября </w:t>
                  </w:r>
                  <w:r w:rsidR="00AE221A">
                    <w:rPr>
                      <w:lang w:val="tt-RU"/>
                    </w:rPr>
                    <w:t xml:space="preserve"> 2024 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AE221A">
                    <w:t xml:space="preserve">    </w:t>
                  </w:r>
                  <w:r w:rsidR="00921D59" w:rsidRPr="001A0456">
                    <w:t xml:space="preserve"> </w:t>
                  </w:r>
                  <w:r w:rsidR="001F54B7" w:rsidRPr="001A0456">
                    <w:t xml:space="preserve">      с.Татарская Тумбарла          </w:t>
                  </w:r>
                  <w:r w:rsidR="00714796">
                    <w:t xml:space="preserve">  </w:t>
                  </w:r>
                  <w:r w:rsidR="001F54B7" w:rsidRPr="001A0456">
                    <w:t xml:space="preserve"> </w:t>
                  </w:r>
                  <w:r w:rsidR="00AE221A">
                    <w:t xml:space="preserve">     №</w:t>
                  </w:r>
                  <w:r>
                    <w:t xml:space="preserve"> </w:t>
                  </w:r>
                </w:p>
                <w:p w:rsidR="001F54B7" w:rsidRPr="001A0456" w:rsidRDefault="00A0155F" w:rsidP="003E6370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D319E9" w:rsidRPr="00D319E9" w:rsidRDefault="00D319E9" w:rsidP="00D319E9">
      <w:pPr>
        <w:widowControl w:val="0"/>
        <w:autoSpaceDE w:val="0"/>
        <w:autoSpaceDN w:val="0"/>
        <w:adjustRightInd w:val="0"/>
        <w:ind w:right="4536"/>
        <w:contextualSpacing/>
        <w:jc w:val="both"/>
        <w:rPr>
          <w:lang w:eastAsia="en-US"/>
        </w:rPr>
      </w:pPr>
      <w:bookmarkStart w:id="0" w:name="_GoBack"/>
      <w:r w:rsidRPr="00D319E9">
        <w:rPr>
          <w:bCs/>
          <w:lang w:eastAsia="en-US"/>
        </w:rPr>
        <w:t xml:space="preserve">О внесении изменений в решение Совета </w:t>
      </w:r>
      <w:r>
        <w:t>Тумбарлинского</w:t>
      </w:r>
      <w:r w:rsidRPr="00D319E9">
        <w:t xml:space="preserve"> </w:t>
      </w:r>
      <w:r w:rsidRPr="00D319E9">
        <w:rPr>
          <w:bCs/>
          <w:lang w:eastAsia="en-US"/>
        </w:rPr>
        <w:t>сельского поселения от 1</w:t>
      </w:r>
      <w:r>
        <w:rPr>
          <w:bCs/>
          <w:lang w:eastAsia="en-US"/>
        </w:rPr>
        <w:t>0</w:t>
      </w:r>
      <w:r w:rsidRPr="00D319E9">
        <w:rPr>
          <w:bCs/>
          <w:lang w:eastAsia="en-US"/>
        </w:rPr>
        <w:t>.04.2018 №</w:t>
      </w:r>
      <w:r>
        <w:rPr>
          <w:bCs/>
          <w:lang w:eastAsia="en-US"/>
        </w:rPr>
        <w:t xml:space="preserve">61 </w:t>
      </w:r>
      <w:r w:rsidRPr="00D319E9">
        <w:rPr>
          <w:bCs/>
          <w:lang w:eastAsia="en-US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>
        <w:t>Тумбарлинского</w:t>
      </w:r>
      <w:r w:rsidRPr="00D319E9">
        <w:rPr>
          <w:bCs/>
          <w:lang w:eastAsia="en-US"/>
        </w:rPr>
        <w:t xml:space="preserve"> сельского поселения Бавлинского муниципального района Республики Татарстан» </w:t>
      </w:r>
    </w:p>
    <w:bookmarkEnd w:id="0"/>
    <w:p w:rsidR="00A0155F" w:rsidRDefault="00A0155F" w:rsidP="00CA63C9">
      <w:pPr>
        <w:tabs>
          <w:tab w:val="left" w:pos="4500"/>
          <w:tab w:val="left" w:pos="4680"/>
        </w:tabs>
        <w:ind w:right="4818"/>
        <w:rPr>
          <w:color w:val="000000"/>
        </w:rPr>
      </w:pP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 xml:space="preserve">О внесении изменений в решение Совета Тумбарлинского сельского поселения от 10.04.2018 №61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Тумбарлинского сельского поселения Бавлинского муниципального района Республики Татарстан» 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 xml:space="preserve">В соответствии с постановлением Кабинета Министров Республики Татарстан от 25.09.2024 №829 «О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</w:t>
      </w:r>
      <w:r>
        <w:lastRenderedPageBreak/>
        <w:t xml:space="preserve">Республике Татарстан» Совет </w:t>
      </w:r>
      <w:r w:rsidR="00A66A80">
        <w:t>Тумбарлинского</w:t>
      </w:r>
      <w:r>
        <w:t xml:space="preserve"> сельского поселения Бавлинского муниципального района РЕШИЛ: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>1.</w:t>
      </w:r>
      <w:r>
        <w:tab/>
        <w:t xml:space="preserve">Внести в решение Совета </w:t>
      </w:r>
      <w:r w:rsidR="00A66A80">
        <w:t>Тумбарлинского</w:t>
      </w:r>
      <w:r>
        <w:t xml:space="preserve"> сельского поселения Бавлинс</w:t>
      </w:r>
      <w:r w:rsidR="00A66A80">
        <w:t>кого муниципального района от 10.04.2018 №61</w:t>
      </w:r>
      <w: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A66A80">
        <w:t>Тумбарлинского</w:t>
      </w:r>
      <w:r>
        <w:t xml:space="preserve"> сельского поселения Бавлинского муниципального района Республики Татарстан» (с изменениями, внесенными решениями Совета </w:t>
      </w:r>
      <w:r w:rsidR="00A66A80">
        <w:t>Тумбарлинского</w:t>
      </w:r>
      <w:r>
        <w:t xml:space="preserve"> сельского поселен</w:t>
      </w:r>
      <w:r w:rsidR="00A66A80">
        <w:t>ия от</w:t>
      </w:r>
      <w:r w:rsidR="00A66A80" w:rsidRPr="00A66A80">
        <w:t xml:space="preserve"> 15.05.2018 №63, от 15.10.2018 №79, от 14.11.2018 №87, от 07.09.2020 №139, 07.12.2021 №34, от 27.09.2022 №55</w:t>
      </w:r>
      <w:r>
        <w:t>, от</w:t>
      </w:r>
      <w:r w:rsidR="00A66A80">
        <w:t xml:space="preserve"> 26.06.2024 №122</w:t>
      </w:r>
      <w:r>
        <w:t xml:space="preserve"> ) следующие изменения: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>в абзаце 3 пункта 1 цифры «13 323» заменить цифрами «13 990»;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>приложение № 2 к указанному решению изложить в новой редакции (прилагается).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>3. Настоящее решение вступает в силу с 1 января 2025 года.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>
        <w:t>4. Контроль за исполнением настоящего решения оставляю за собой.</w:t>
      </w:r>
    </w:p>
    <w:p w:rsidR="00D319E9" w:rsidRDefault="00D319E9" w:rsidP="00D319E9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</w:p>
    <w:p w:rsidR="00B87429" w:rsidRDefault="00B87429" w:rsidP="00A66A8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</w:p>
    <w:p w:rsidR="00B87429" w:rsidRDefault="00B87429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</w:p>
    <w:p w:rsidR="00B87429" w:rsidRDefault="00B87429" w:rsidP="00B87429">
      <w:r>
        <w:t>Глава, Председатель Совета</w:t>
      </w:r>
    </w:p>
    <w:p w:rsidR="00B87429" w:rsidRDefault="00B87429" w:rsidP="00B87429">
      <w:r>
        <w:t>Тумбарлинского</w:t>
      </w:r>
    </w:p>
    <w:p w:rsidR="00B87429" w:rsidRDefault="00B87429" w:rsidP="00B87429">
      <w:r>
        <w:t>сельского поселения</w:t>
      </w:r>
      <w:r>
        <w:tab/>
      </w:r>
      <w:r>
        <w:tab/>
      </w:r>
      <w:r>
        <w:tab/>
        <w:t xml:space="preserve">                                         А.М. Миназова</w:t>
      </w:r>
    </w:p>
    <w:p w:rsidR="00B87429" w:rsidRPr="00A0155F" w:rsidRDefault="00B87429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</w:p>
    <w:p w:rsidR="00A0155F" w:rsidRDefault="00A0155F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66A80" w:rsidRDefault="00A66A80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66A80" w:rsidRDefault="00A66A80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66A80" w:rsidRDefault="00A66A80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66A80" w:rsidRDefault="00A66A80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4"/>
        </w:rPr>
      </w:pPr>
      <w:r w:rsidRPr="00A66A80">
        <w:rPr>
          <w:sz w:val="24"/>
        </w:rPr>
        <w:t>Приложение № 2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 w:rsidRPr="00A66A80">
        <w:rPr>
          <w:sz w:val="24"/>
        </w:rPr>
        <w:t>к решению Совета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>
        <w:rPr>
          <w:sz w:val="24"/>
        </w:rPr>
        <w:t>Тумбарлинского</w:t>
      </w:r>
      <w:r w:rsidRPr="00A66A80">
        <w:rPr>
          <w:sz w:val="24"/>
        </w:rPr>
        <w:t xml:space="preserve"> сельского поселения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 w:rsidRPr="00A66A80">
        <w:rPr>
          <w:sz w:val="24"/>
        </w:rPr>
        <w:t>Бавлинского муниципального района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540"/>
        <w:jc w:val="right"/>
        <w:rPr>
          <w:sz w:val="24"/>
        </w:rPr>
      </w:pPr>
      <w:r w:rsidRPr="00A66A80">
        <w:rPr>
          <w:sz w:val="24"/>
        </w:rPr>
        <w:t>от 1</w:t>
      </w:r>
      <w:r>
        <w:rPr>
          <w:sz w:val="24"/>
        </w:rPr>
        <w:t>0</w:t>
      </w:r>
      <w:r w:rsidRPr="00A66A80">
        <w:rPr>
          <w:sz w:val="24"/>
        </w:rPr>
        <w:t xml:space="preserve">.04.2018г. № </w:t>
      </w:r>
      <w:r>
        <w:rPr>
          <w:sz w:val="24"/>
        </w:rPr>
        <w:t>61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 w:rsidRPr="00A66A80">
        <w:rPr>
          <w:sz w:val="24"/>
        </w:rPr>
        <w:t>(в редакции решения Совета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>
        <w:rPr>
          <w:sz w:val="24"/>
        </w:rPr>
        <w:t>Тумбарлинского</w:t>
      </w:r>
      <w:r w:rsidRPr="00A66A80">
        <w:rPr>
          <w:sz w:val="24"/>
        </w:rPr>
        <w:t xml:space="preserve"> сельского поселения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 w:rsidRPr="00A66A80">
        <w:rPr>
          <w:sz w:val="24"/>
        </w:rPr>
        <w:t>Бавлинского муниципального района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</w:rPr>
      </w:pPr>
      <w:r w:rsidRPr="00A66A80">
        <w:rPr>
          <w:sz w:val="24"/>
        </w:rPr>
        <w:t>от «____»________2024г. № ____</w:t>
      </w:r>
    </w:p>
    <w:p w:rsidR="00A66A80" w:rsidRPr="00A66A80" w:rsidRDefault="00A66A80" w:rsidP="00A66A80">
      <w:pPr>
        <w:widowControl w:val="0"/>
        <w:autoSpaceDE w:val="0"/>
        <w:autoSpaceDN w:val="0"/>
        <w:adjustRightInd w:val="0"/>
        <w:rPr>
          <w:b/>
          <w:bCs/>
          <w:sz w:val="24"/>
        </w:rPr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66A80" w:rsidRPr="00A66A80" w:rsidRDefault="00A66A80" w:rsidP="00A66A8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</w:pPr>
      <w:r w:rsidRPr="00A66A80">
        <w:t xml:space="preserve">Размеры денежного вознаграждения Главы </w:t>
      </w:r>
      <w:r>
        <w:t>Тумбарлинского</w:t>
      </w:r>
    </w:p>
    <w:p w:rsidR="00A66A80" w:rsidRPr="00A66A80" w:rsidRDefault="00A66A80" w:rsidP="00A66A8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</w:pPr>
      <w:r w:rsidRPr="00A66A80">
        <w:t xml:space="preserve"> сельского поселения Бавлинского муниципального района</w:t>
      </w:r>
    </w:p>
    <w:p w:rsidR="00A66A80" w:rsidRPr="00A66A80" w:rsidRDefault="00A66A80" w:rsidP="00A66A80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jc w:val="center"/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A66A80" w:rsidRPr="00A66A80" w:rsidTr="000F0437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80" w:rsidRPr="00A66A80" w:rsidRDefault="00A66A80" w:rsidP="00A66A8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6"/>
              <w:jc w:val="center"/>
              <w:rPr>
                <w:color w:val="000000"/>
                <w:lang w:eastAsia="en-US"/>
              </w:rPr>
            </w:pPr>
            <w:r w:rsidRPr="00A66A80">
              <w:rPr>
                <w:color w:val="000000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A80" w:rsidRPr="00A66A80" w:rsidRDefault="00A66A80" w:rsidP="00A66A8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A66A80">
              <w:rPr>
                <w:color w:val="000000"/>
                <w:lang w:eastAsia="en-US"/>
              </w:rPr>
              <w:t>Размеры денежного вознаграждения (в рублях)</w:t>
            </w:r>
          </w:p>
        </w:tc>
      </w:tr>
      <w:tr w:rsidR="00A66A80" w:rsidRPr="00A66A80" w:rsidTr="000F0437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A80" w:rsidRPr="00A66A80" w:rsidRDefault="00A66A80" w:rsidP="00A66A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6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80" w:rsidRPr="00A66A80" w:rsidRDefault="00A66A80" w:rsidP="00A66A8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A66A80">
              <w:rPr>
                <w:color w:val="000000"/>
                <w:lang w:eastAsia="en-US"/>
              </w:rPr>
              <w:t>12 группа</w:t>
            </w:r>
          </w:p>
        </w:tc>
      </w:tr>
      <w:tr w:rsidR="00A66A80" w:rsidRPr="00A66A80" w:rsidTr="000F0437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80" w:rsidRPr="00A66A80" w:rsidRDefault="00A66A80" w:rsidP="00A66A8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6"/>
              <w:jc w:val="both"/>
              <w:rPr>
                <w:color w:val="000000"/>
                <w:lang w:eastAsia="en-US"/>
              </w:rPr>
            </w:pPr>
            <w:r w:rsidRPr="00A66A80">
              <w:rPr>
                <w:color w:val="000000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80" w:rsidRPr="00A66A80" w:rsidRDefault="00A66A80" w:rsidP="00A66A8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A66A80">
              <w:rPr>
                <w:color w:val="000000"/>
                <w:lang w:eastAsia="en-US"/>
              </w:rPr>
              <w:t>19 173</w:t>
            </w:r>
          </w:p>
        </w:tc>
      </w:tr>
    </w:tbl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540"/>
        <w:jc w:val="both"/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both"/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both"/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both"/>
      </w:pPr>
    </w:p>
    <w:p w:rsidR="00A66A80" w:rsidRPr="00A66A80" w:rsidRDefault="00A66A80" w:rsidP="00A66A80">
      <w:pPr>
        <w:widowControl w:val="0"/>
        <w:autoSpaceDE w:val="0"/>
        <w:autoSpaceDN w:val="0"/>
        <w:adjustRightInd w:val="0"/>
        <w:ind w:firstLine="720"/>
        <w:jc w:val="center"/>
      </w:pPr>
      <w:r w:rsidRPr="00A66A80">
        <w:t>______________________</w:t>
      </w:r>
    </w:p>
    <w:p w:rsidR="00A66A80" w:rsidRPr="00A0155F" w:rsidRDefault="00A66A80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0155F" w:rsidRPr="00B87429" w:rsidRDefault="00A0155F" w:rsidP="00CA63C9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sectPr w:rsidR="00A0155F" w:rsidRPr="00B87429" w:rsidSect="001165DE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D1" w:rsidRDefault="00600ED1">
      <w:r>
        <w:separator/>
      </w:r>
    </w:p>
  </w:endnote>
  <w:endnote w:type="continuationSeparator" w:id="0">
    <w:p w:rsidR="00600ED1" w:rsidRDefault="0060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D1" w:rsidRDefault="00600ED1">
      <w:r>
        <w:separator/>
      </w:r>
    </w:p>
  </w:footnote>
  <w:footnote w:type="continuationSeparator" w:id="0">
    <w:p w:rsidR="00600ED1" w:rsidRDefault="0060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4CB" w:rsidRDefault="00B324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47A">
      <w:rPr>
        <w:noProof/>
      </w:rPr>
      <w:t>2</w:t>
    </w:r>
    <w:r>
      <w:fldChar w:fldCharType="end"/>
    </w:r>
  </w:p>
  <w:p w:rsidR="00B324CB" w:rsidRDefault="00B324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4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2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1">
      <w:startOverride w:val="3"/>
    </w:lvlOverride>
  </w:num>
  <w:num w:numId="11">
    <w:abstractNumId w:val="31"/>
    <w:lvlOverride w:ilvl="1">
      <w:startOverride w:val="3"/>
    </w:lvlOverride>
  </w:num>
  <w:num w:numId="12">
    <w:abstractNumId w:val="31"/>
    <w:lvlOverride w:ilvl="1">
      <w:startOverride w:val="3"/>
    </w:lvlOverride>
  </w:num>
  <w:num w:numId="13">
    <w:abstractNumId w:val="31"/>
    <w:lvlOverride w:ilvl="1">
      <w:startOverride w:val="3"/>
    </w:lvlOverride>
  </w:num>
  <w:num w:numId="14">
    <w:abstractNumId w:val="31"/>
    <w:lvlOverride w:ilvl="1">
      <w:startOverride w:val="3"/>
    </w:lvlOverride>
  </w:num>
  <w:num w:numId="15">
    <w:abstractNumId w:val="18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30"/>
  </w:num>
  <w:num w:numId="19">
    <w:abstractNumId w:val="8"/>
  </w:num>
  <w:num w:numId="20">
    <w:abstractNumId w:val="5"/>
  </w:num>
  <w:num w:numId="21">
    <w:abstractNumId w:val="29"/>
  </w:num>
  <w:num w:numId="22">
    <w:abstractNumId w:val="17"/>
  </w:num>
  <w:num w:numId="23">
    <w:abstractNumId w:val="13"/>
  </w:num>
  <w:num w:numId="24">
    <w:abstractNumId w:val="35"/>
  </w:num>
  <w:num w:numId="25">
    <w:abstractNumId w:val="1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2"/>
  </w:num>
  <w:num w:numId="29">
    <w:abstractNumId w:val="6"/>
  </w:num>
  <w:num w:numId="30">
    <w:abstractNumId w:val="28"/>
  </w:num>
  <w:num w:numId="31">
    <w:abstractNumId w:val="2"/>
  </w:num>
  <w:num w:numId="32">
    <w:abstractNumId w:val="20"/>
  </w:num>
  <w:num w:numId="33">
    <w:abstractNumId w:val="21"/>
  </w:num>
  <w:num w:numId="34">
    <w:abstractNumId w:val="33"/>
  </w:num>
  <w:num w:numId="35">
    <w:abstractNumId w:val="27"/>
  </w:num>
  <w:num w:numId="36">
    <w:abstractNumId w:val="14"/>
  </w:num>
  <w:num w:numId="37">
    <w:abstractNumId w:val="9"/>
  </w:num>
  <w:num w:numId="38">
    <w:abstractNumId w:val="34"/>
  </w:num>
  <w:num w:numId="39">
    <w:abstractNumId w:val="11"/>
  </w:num>
  <w:num w:numId="40">
    <w:abstractNumId w:val="23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55DE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437"/>
    <w:rsid w:val="000F0C51"/>
    <w:rsid w:val="000F248A"/>
    <w:rsid w:val="000F2674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3AF8"/>
    <w:rsid w:val="001941DB"/>
    <w:rsid w:val="00197604"/>
    <w:rsid w:val="001A0456"/>
    <w:rsid w:val="001A41E2"/>
    <w:rsid w:val="001A4E5B"/>
    <w:rsid w:val="001B0FC6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084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B747D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2EB"/>
    <w:rsid w:val="00324322"/>
    <w:rsid w:val="003354D6"/>
    <w:rsid w:val="00337A6D"/>
    <w:rsid w:val="003459A4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2205"/>
    <w:rsid w:val="003D71D3"/>
    <w:rsid w:val="003E03EE"/>
    <w:rsid w:val="003E133B"/>
    <w:rsid w:val="003E1FE0"/>
    <w:rsid w:val="003E49F3"/>
    <w:rsid w:val="003E5548"/>
    <w:rsid w:val="003E6370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32FA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147A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44EA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0ED1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4796"/>
    <w:rsid w:val="007151E9"/>
    <w:rsid w:val="007204A5"/>
    <w:rsid w:val="00723B65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C64AB"/>
    <w:rsid w:val="007D1924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D7EF8"/>
    <w:rsid w:val="008E554A"/>
    <w:rsid w:val="008F3825"/>
    <w:rsid w:val="008F5339"/>
    <w:rsid w:val="009104C9"/>
    <w:rsid w:val="00912652"/>
    <w:rsid w:val="00915190"/>
    <w:rsid w:val="009207EB"/>
    <w:rsid w:val="009213C9"/>
    <w:rsid w:val="009217E4"/>
    <w:rsid w:val="00921D59"/>
    <w:rsid w:val="0093153A"/>
    <w:rsid w:val="00932712"/>
    <w:rsid w:val="00933E4D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2CC"/>
    <w:rsid w:val="009C648B"/>
    <w:rsid w:val="009C7EC4"/>
    <w:rsid w:val="009E1543"/>
    <w:rsid w:val="009E2695"/>
    <w:rsid w:val="009E6482"/>
    <w:rsid w:val="009F0CFD"/>
    <w:rsid w:val="009F4696"/>
    <w:rsid w:val="009F4736"/>
    <w:rsid w:val="009F4B96"/>
    <w:rsid w:val="00A0155F"/>
    <w:rsid w:val="00A03395"/>
    <w:rsid w:val="00A034D4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66A80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21A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24CB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87429"/>
    <w:rsid w:val="00B92BC8"/>
    <w:rsid w:val="00B94B1A"/>
    <w:rsid w:val="00BA10BB"/>
    <w:rsid w:val="00BA276A"/>
    <w:rsid w:val="00BA4847"/>
    <w:rsid w:val="00BB7085"/>
    <w:rsid w:val="00BC1154"/>
    <w:rsid w:val="00BD75F7"/>
    <w:rsid w:val="00BD7B5C"/>
    <w:rsid w:val="00BE0EA2"/>
    <w:rsid w:val="00BE266E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36DF2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72A6"/>
    <w:rsid w:val="00CA0098"/>
    <w:rsid w:val="00CA63C9"/>
    <w:rsid w:val="00CB169B"/>
    <w:rsid w:val="00CB1A4C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C7021"/>
    <w:rsid w:val="00CD0A7E"/>
    <w:rsid w:val="00CD3D76"/>
    <w:rsid w:val="00CD7833"/>
    <w:rsid w:val="00CE392F"/>
    <w:rsid w:val="00CF5368"/>
    <w:rsid w:val="00CF6C91"/>
    <w:rsid w:val="00D0634B"/>
    <w:rsid w:val="00D07C69"/>
    <w:rsid w:val="00D132B1"/>
    <w:rsid w:val="00D2110A"/>
    <w:rsid w:val="00D21DB8"/>
    <w:rsid w:val="00D319E9"/>
    <w:rsid w:val="00D3370F"/>
    <w:rsid w:val="00D35573"/>
    <w:rsid w:val="00D3776C"/>
    <w:rsid w:val="00D37B95"/>
    <w:rsid w:val="00D4132F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56A6A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811"/>
    <w:rsid w:val="00F12E42"/>
    <w:rsid w:val="00F175A5"/>
    <w:rsid w:val="00F2185D"/>
    <w:rsid w:val="00F22DD5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236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233CC4-8BEA-40B6-864F-6894A60F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numbering" w:customStyle="1" w:styleId="33">
    <w:name w:val="Нет списка3"/>
    <w:next w:val="a2"/>
    <w:semiHidden/>
    <w:unhideWhenUsed/>
    <w:rsid w:val="00AE221A"/>
  </w:style>
  <w:style w:type="paragraph" w:customStyle="1" w:styleId="ConsPlusCell">
    <w:name w:val="ConsPlusCell"/>
    <w:uiPriority w:val="99"/>
    <w:rsid w:val="00AE22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1113-FB91-43A2-8D87-50EC9D59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2022-10-28T10:55:00Z</cp:lastPrinted>
  <dcterms:created xsi:type="dcterms:W3CDTF">2024-11-13T07:43:00Z</dcterms:created>
  <dcterms:modified xsi:type="dcterms:W3CDTF">2024-11-13T07:43:00Z</dcterms:modified>
</cp:coreProperties>
</file>