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5C2C62" w:rsidRPr="00444E8C" w:rsidTr="00444E8C">
        <w:trPr>
          <w:trHeight w:val="851"/>
        </w:trPr>
        <w:tc>
          <w:tcPr>
            <w:tcW w:w="10065" w:type="dxa"/>
            <w:vAlign w:val="bottom"/>
          </w:tcPr>
          <w:p w:rsidR="00596461" w:rsidRPr="00444E8C" w:rsidRDefault="0059646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5C2C62" w:rsidRPr="00444E8C" w:rsidTr="00467053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444E8C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СОВЕТ</w:t>
                  </w:r>
                </w:p>
                <w:p w:rsidR="005C2C62" w:rsidRPr="00444E8C" w:rsidRDefault="00BA5E88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САЛИХОВСКОГО</w:t>
                  </w:r>
                </w:p>
                <w:p w:rsidR="005C2C62" w:rsidRPr="00444E8C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5C2C62" w:rsidRPr="00444E8C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5C2C62" w:rsidRPr="00444E8C" w:rsidRDefault="005C2C62" w:rsidP="00E651A8">
                  <w:pPr>
                    <w:ind w:right="-113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  <w:r w:rsidRPr="00444E8C"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444E8C" w:rsidRDefault="005C2C62" w:rsidP="005C2C62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444E8C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5C2C62" w:rsidRPr="00444E8C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5C2C62" w:rsidRPr="00444E8C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</w:t>
                  </w:r>
                </w:p>
                <w:p w:rsidR="005C2C62" w:rsidRPr="00444E8C" w:rsidRDefault="00BA5E88" w:rsidP="00E651A8">
                  <w:pPr>
                    <w:ind w:left="599" w:right="47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САЛИХ</w:t>
                  </w:r>
                </w:p>
                <w:p w:rsidR="005C2C62" w:rsidRPr="00444E8C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ИРЛЕГЕ </w:t>
                  </w:r>
                </w:p>
                <w:p w:rsidR="005C2C62" w:rsidRPr="00444E8C" w:rsidRDefault="005C2C62" w:rsidP="00E651A8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  <w:p w:rsidR="005C2C62" w:rsidRPr="00444E8C" w:rsidRDefault="005C2C62" w:rsidP="005C2C6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E651A8" w:rsidRPr="00444E8C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444E8C" w:rsidRDefault="00E651A8" w:rsidP="0058541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РЕШЕНИЕ</w:t>
                  </w:r>
                </w:p>
              </w:tc>
              <w:tc>
                <w:tcPr>
                  <w:tcW w:w="124" w:type="pct"/>
                </w:tcPr>
                <w:p w:rsidR="00E651A8" w:rsidRPr="00444E8C" w:rsidRDefault="00E651A8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444E8C" w:rsidRDefault="00E651A8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b/>
                      <w:sz w:val="24"/>
                      <w:szCs w:val="24"/>
                    </w:rPr>
                    <w:t>КАРАР</w:t>
                  </w:r>
                </w:p>
              </w:tc>
            </w:tr>
            <w:tr w:rsidR="00467053" w:rsidRPr="00444E8C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467053" w:rsidRPr="00444E8C" w:rsidRDefault="00467053" w:rsidP="00467053">
                  <w:pPr>
                    <w:ind w:right="3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4E8C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="00BA5E88" w:rsidRPr="00444E8C">
                    <w:rPr>
                      <w:rFonts w:ascii="Arial" w:hAnsi="Arial" w:cs="Arial"/>
                      <w:sz w:val="24"/>
                      <w:szCs w:val="24"/>
                    </w:rPr>
                    <w:t xml:space="preserve">. Новые </w:t>
                  </w:r>
                  <w:proofErr w:type="spellStart"/>
                  <w:r w:rsidR="00BA5E88" w:rsidRPr="00444E8C">
                    <w:rPr>
                      <w:rFonts w:ascii="Arial" w:hAnsi="Arial" w:cs="Arial"/>
                      <w:sz w:val="24"/>
                      <w:szCs w:val="24"/>
                    </w:rPr>
                    <w:t>Чути</w:t>
                  </w:r>
                  <w:proofErr w:type="spellEnd"/>
                </w:p>
              </w:tc>
            </w:tr>
            <w:tr w:rsidR="00E651A8" w:rsidRPr="00444E8C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444E8C" w:rsidRDefault="00E651A8" w:rsidP="00E47B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4" w:type="pct"/>
                </w:tcPr>
                <w:p w:rsidR="00E651A8" w:rsidRPr="00444E8C" w:rsidRDefault="00E651A8" w:rsidP="00E17C6F">
                  <w:pPr>
                    <w:ind w:firstLine="74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444E8C" w:rsidRDefault="00E651A8" w:rsidP="0046705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444E8C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444E8C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444E8C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444E8C">
              <w:rPr>
                <w:rFonts w:ascii="Arial" w:hAnsi="Arial" w:cs="Arial"/>
                <w:bCs/>
                <w:sz w:val="24"/>
                <w:szCs w:val="24"/>
              </w:rPr>
              <w:t>сельского поселения от 1</w:t>
            </w:r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>.04.2018</w:t>
            </w:r>
            <w:r w:rsidR="00AD733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№62</w:t>
            </w:r>
            <w:r w:rsidR="002C784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44E8C">
              <w:rPr>
                <w:rFonts w:ascii="Arial" w:hAnsi="Arial" w:cs="Arial"/>
                <w:bCs/>
                <w:sz w:val="24"/>
                <w:szCs w:val="24"/>
              </w:rPr>
              <w:t xml:space="preserve">«О нормативах формирования расходов на </w:t>
            </w:r>
            <w:r w:rsidR="00596461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Pr="00444E8C">
              <w:rPr>
                <w:rFonts w:ascii="Arial" w:hAnsi="Arial" w:cs="Arial"/>
                <w:bCs/>
                <w:sz w:val="24"/>
                <w:szCs w:val="24"/>
              </w:rPr>
              <w:t>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>сельского поселения Бавлинского муниципального района Республики</w:t>
            </w:r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Татарстан» (с изменениями от 07.05.2018 №64, от 10.10.2018 №83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2C784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15.11.2018 №92, от 07.09.2020 №141, 17.12.2021 №36, от 26.09.2022 №54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61BF7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6465B" w:rsidRPr="00444E8C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444E8C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444E8C" w:rsidRDefault="007F6CC6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протестом </w:t>
            </w:r>
            <w:proofErr w:type="spellStart"/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Бавлинской</w:t>
            </w:r>
            <w:proofErr w:type="spellEnd"/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городской прокуратуры от 15.01.2024 №02-08-02/24,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</w:t>
            </w:r>
            <w:r w:rsidRPr="00444E8C">
              <w:rPr>
                <w:rFonts w:ascii="Arial" w:hAnsi="Arial" w:cs="Arial"/>
                <w:sz w:val="24"/>
                <w:szCs w:val="24"/>
              </w:rPr>
              <w:lastRenderedPageBreak/>
              <w:t>Республике Татарстан»</w:t>
            </w: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65FEC" w:rsidRPr="00444E8C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BA5E88" w:rsidRPr="00444E8C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="00BA5E88"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92E" w:rsidRPr="00444E8C">
              <w:rPr>
                <w:rFonts w:ascii="Arial" w:hAnsi="Arial" w:cs="Arial"/>
                <w:sz w:val="24"/>
                <w:szCs w:val="24"/>
              </w:rPr>
              <w:t xml:space="preserve">сельского поселения Бавлинского муниципального района </w:t>
            </w:r>
            <w:r w:rsidR="0006465B" w:rsidRPr="00444E8C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444E8C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r w:rsidRPr="00444E8C">
              <w:rPr>
                <w:rFonts w:ascii="Arial" w:hAnsi="Arial" w:cs="Arial"/>
                <w:sz w:val="24"/>
                <w:szCs w:val="24"/>
              </w:rPr>
              <w:t>Внести в решение Совета</w:t>
            </w:r>
            <w:r w:rsidR="005E292E"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A5E88" w:rsidRPr="00444E8C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="00BA5E88"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92E" w:rsidRPr="00444E8C">
              <w:rPr>
                <w:rFonts w:ascii="Arial" w:hAnsi="Arial" w:cs="Arial"/>
                <w:sz w:val="24"/>
                <w:szCs w:val="24"/>
              </w:rPr>
              <w:t xml:space="preserve">сельского поселения Бавлинского муниципального района 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96461" w:rsidRPr="00444E8C">
              <w:rPr>
                <w:rFonts w:ascii="Arial" w:hAnsi="Arial" w:cs="Arial"/>
                <w:sz w:val="24"/>
                <w:szCs w:val="24"/>
              </w:rPr>
              <w:t>12</w:t>
            </w:r>
            <w:r w:rsidRPr="00444E8C">
              <w:rPr>
                <w:rFonts w:ascii="Arial" w:hAnsi="Arial" w:cs="Arial"/>
                <w:sz w:val="24"/>
                <w:szCs w:val="24"/>
              </w:rPr>
              <w:t>.04.2018 №</w:t>
            </w:r>
            <w:r w:rsidR="00596461" w:rsidRPr="00444E8C">
              <w:rPr>
                <w:rFonts w:ascii="Arial" w:hAnsi="Arial" w:cs="Arial"/>
                <w:sz w:val="24"/>
                <w:szCs w:val="24"/>
              </w:rPr>
              <w:t>62</w:t>
            </w:r>
            <w:r w:rsidR="005E292E"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65B" w:rsidRPr="00444E8C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BA5E88" w:rsidRPr="00444E8C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FB72AB" w:rsidRPr="00444E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444E8C">
              <w:rPr>
                <w:rFonts w:ascii="Arial" w:hAnsi="Arial" w:cs="Arial"/>
                <w:bCs/>
                <w:sz w:val="24"/>
                <w:szCs w:val="24"/>
              </w:rPr>
              <w:t>сельского поселения Бавлинского муниципального района Республики Татарстан</w:t>
            </w:r>
            <w:r w:rsidR="005E292E" w:rsidRPr="00444E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444E8C">
              <w:rPr>
                <w:rFonts w:ascii="Arial" w:hAnsi="Arial" w:cs="Arial"/>
                <w:sz w:val="24"/>
                <w:szCs w:val="24"/>
              </w:rPr>
              <w:t>(</w:t>
            </w:r>
            <w:r w:rsidR="00596461" w:rsidRPr="00444E8C">
              <w:rPr>
                <w:rFonts w:ascii="Arial" w:hAnsi="Arial" w:cs="Arial"/>
                <w:bCs/>
                <w:sz w:val="24"/>
                <w:szCs w:val="24"/>
              </w:rPr>
              <w:t xml:space="preserve">с изменениями от 07.05.2018 №64, от 10.10.2018 №83, от 15.11.2018 №92, от 07.09.2020 №141, 17.12.2021 №36, от 26.09.2022 №54)  </w:t>
            </w:r>
            <w:r w:rsidR="0006465B" w:rsidRPr="00444E8C">
              <w:rPr>
                <w:rFonts w:ascii="Arial" w:hAnsi="Arial" w:cs="Arial"/>
                <w:sz w:val="24"/>
                <w:szCs w:val="24"/>
              </w:rPr>
              <w:t>следующие изменения</w:t>
            </w:r>
            <w:r w:rsidR="00CB62EA" w:rsidRPr="00444E8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719D5" w:rsidRPr="00444E8C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в абзаце 3 пункта 1 цифры «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>12 688</w:t>
            </w:r>
            <w:r w:rsidRPr="00444E8C">
              <w:rPr>
                <w:rFonts w:ascii="Arial" w:hAnsi="Arial" w:cs="Arial"/>
                <w:sz w:val="24"/>
                <w:szCs w:val="24"/>
              </w:rPr>
              <w:t>» заменить цифрами «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>13 323</w:t>
            </w:r>
            <w:r w:rsidRPr="00444E8C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1F420D" w:rsidRPr="00444E8C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абзац </w:t>
            </w:r>
            <w:r w:rsidR="00E44932" w:rsidRPr="00444E8C">
              <w:rPr>
                <w:rFonts w:ascii="Arial" w:hAnsi="Arial" w:cs="Arial"/>
                <w:sz w:val="24"/>
                <w:szCs w:val="24"/>
              </w:rPr>
              <w:t>3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 xml:space="preserve">подпункта 2.1 пункта 2 </w:t>
            </w:r>
            <w:r w:rsidRPr="00444E8C">
              <w:rPr>
                <w:rFonts w:ascii="Arial" w:hAnsi="Arial" w:cs="Arial"/>
                <w:sz w:val="24"/>
                <w:szCs w:val="24"/>
              </w:rPr>
              <w:t>изложить в новой редакции:</w:t>
            </w:r>
          </w:p>
          <w:p w:rsidR="0058541C" w:rsidRPr="00444E8C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>12,86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 ежемесячных денежных вознаграждений в год.»;</w:t>
            </w:r>
          </w:p>
          <w:p w:rsidR="007035FB" w:rsidRPr="00444E8C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>приложени</w:t>
            </w:r>
            <w:r w:rsidRPr="00444E8C">
              <w:rPr>
                <w:rFonts w:ascii="Arial" w:hAnsi="Arial" w:cs="Arial"/>
                <w:sz w:val="24"/>
                <w:szCs w:val="24"/>
              </w:rPr>
              <w:t>и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 xml:space="preserve"> № 6 слова </w:t>
            </w:r>
            <w:r w:rsidR="007035FB" w:rsidRPr="00444E8C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0F1CA6" w:rsidRPr="00444E8C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444E8C">
              <w:rPr>
                <w:rFonts w:ascii="Arial" w:hAnsi="Arial" w:cs="Arial"/>
              </w:rPr>
              <w:t>в пункте 1 приложения №13:</w:t>
            </w:r>
          </w:p>
          <w:p w:rsidR="007035FB" w:rsidRPr="00444E8C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в подпункте 6) с</w:t>
            </w:r>
            <w:r w:rsidR="007035FB" w:rsidRPr="00444E8C">
              <w:rPr>
                <w:rFonts w:ascii="Arial" w:hAnsi="Arial" w:cs="Arial"/>
                <w:sz w:val="24"/>
                <w:szCs w:val="24"/>
              </w:rPr>
              <w:t xml:space="preserve">лова </w:t>
            </w:r>
            <w:r w:rsidR="007035FB" w:rsidRPr="00444E8C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процента».</w:t>
            </w:r>
          </w:p>
          <w:p w:rsidR="00E44932" w:rsidRPr="00444E8C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дополнить подпунктом </w:t>
            </w:r>
            <w:r w:rsidR="000F1CA6"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) следующего содержания:</w:t>
            </w:r>
          </w:p>
          <w:p w:rsidR="00E44932" w:rsidRPr="00444E8C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0F1CA6"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>7)</w:t>
            </w:r>
            <w:r w:rsidRPr="00444E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      </w:r>
          </w:p>
          <w:p w:rsidR="007035FB" w:rsidRPr="00444E8C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приложения № 2 и № 15 к указанному решению </w:t>
            </w:r>
            <w:r w:rsidRPr="00444E8C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444E8C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44E8C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444E8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408D7" w:rsidRPr="00444E8C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444E8C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hyperlink r:id="rId7" w:history="1"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proofErr w:type="spellEnd"/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="00C408D7" w:rsidRPr="00444E8C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408D7" w:rsidRPr="00444E8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C408D7" w:rsidRPr="00444E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62EA" w:rsidRPr="00444E8C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444E8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08D7" w:rsidRPr="00444E8C">
              <w:rPr>
                <w:rFonts w:ascii="Arial" w:hAnsi="Arial" w:cs="Arial"/>
                <w:bCs/>
                <w:sz w:val="24"/>
                <w:szCs w:val="24"/>
              </w:rPr>
              <w:t xml:space="preserve">Настоящее решение вступает в силу </w:t>
            </w:r>
            <w:r w:rsidR="00C408D7" w:rsidRPr="00444E8C">
              <w:rPr>
                <w:rFonts w:ascii="Arial" w:hAnsi="Arial" w:cs="Arial"/>
                <w:sz w:val="24"/>
                <w:szCs w:val="24"/>
              </w:rPr>
              <w:t>с 1 июля 2024 года</w:t>
            </w:r>
            <w:r w:rsidR="00C408D7" w:rsidRPr="00444E8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444E8C" w:rsidRDefault="00CB62EA" w:rsidP="007E6ED9">
            <w:pPr>
              <w:spacing w:line="360" w:lineRule="auto"/>
              <w:ind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4. Контроль за исполнением настоящего решения оставляю за собой.</w:t>
            </w:r>
          </w:p>
          <w:p w:rsidR="00265279" w:rsidRPr="00444E8C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292E" w:rsidRPr="00444E8C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2EA8" w:rsidRPr="00444E8C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444E8C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6B1" w:rsidRPr="00444E8C" w:rsidRDefault="005C2C62" w:rsidP="00725F0C">
      <w:pPr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3A26B1" w:rsidRPr="00444E8C">
        <w:rPr>
          <w:rFonts w:ascii="Arial" w:hAnsi="Arial" w:cs="Arial"/>
          <w:sz w:val="24"/>
          <w:szCs w:val="24"/>
        </w:rPr>
        <w:t xml:space="preserve">Глава, </w:t>
      </w:r>
      <w:r w:rsidR="00883435" w:rsidRPr="00444E8C">
        <w:rPr>
          <w:rFonts w:ascii="Arial" w:hAnsi="Arial" w:cs="Arial"/>
          <w:sz w:val="24"/>
          <w:szCs w:val="24"/>
        </w:rPr>
        <w:t>Председатель</w:t>
      </w:r>
    </w:p>
    <w:p w:rsidR="00F8456F" w:rsidRPr="00444E8C" w:rsidRDefault="005C2C62" w:rsidP="00725F0C">
      <w:pPr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 xml:space="preserve"> </w:t>
      </w:r>
      <w:r w:rsidR="00265279" w:rsidRPr="00444E8C">
        <w:rPr>
          <w:rFonts w:ascii="Arial" w:hAnsi="Arial" w:cs="Arial"/>
          <w:sz w:val="24"/>
          <w:szCs w:val="24"/>
        </w:rPr>
        <w:t>Совета</w:t>
      </w:r>
      <w:r w:rsidR="003A26B1" w:rsidRPr="00444E8C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435" w:rsidRPr="00444E8C">
        <w:rPr>
          <w:rFonts w:ascii="Arial" w:hAnsi="Arial" w:cs="Arial"/>
          <w:sz w:val="24"/>
          <w:szCs w:val="24"/>
        </w:rPr>
        <w:tab/>
      </w:r>
      <w:r w:rsidR="00883435" w:rsidRPr="00444E8C">
        <w:rPr>
          <w:rFonts w:ascii="Arial" w:hAnsi="Arial" w:cs="Arial"/>
          <w:sz w:val="24"/>
          <w:szCs w:val="24"/>
        </w:rPr>
        <w:tab/>
      </w:r>
      <w:r w:rsidR="00883435" w:rsidRPr="00444E8C">
        <w:rPr>
          <w:rFonts w:ascii="Arial" w:hAnsi="Arial" w:cs="Arial"/>
          <w:sz w:val="24"/>
          <w:szCs w:val="24"/>
        </w:rPr>
        <w:tab/>
      </w:r>
      <w:r w:rsidR="00883435" w:rsidRPr="00444E8C">
        <w:rPr>
          <w:rFonts w:ascii="Arial" w:hAnsi="Arial" w:cs="Arial"/>
          <w:sz w:val="24"/>
          <w:szCs w:val="24"/>
        </w:rPr>
        <w:tab/>
      </w:r>
      <w:r w:rsidR="00883435" w:rsidRPr="00444E8C">
        <w:rPr>
          <w:rFonts w:ascii="Arial" w:hAnsi="Arial" w:cs="Arial"/>
          <w:sz w:val="24"/>
          <w:szCs w:val="24"/>
        </w:rPr>
        <w:tab/>
      </w:r>
      <w:proofErr w:type="spellStart"/>
      <w:r w:rsidR="00596461" w:rsidRPr="00444E8C">
        <w:rPr>
          <w:rFonts w:ascii="Arial" w:hAnsi="Arial" w:cs="Arial"/>
          <w:sz w:val="24"/>
          <w:szCs w:val="24"/>
        </w:rPr>
        <w:t>З.С</w:t>
      </w:r>
      <w:proofErr w:type="spellEnd"/>
      <w:r w:rsidR="00596461" w:rsidRPr="00444E8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6461" w:rsidRPr="00444E8C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3A26B1" w:rsidRPr="00444E8C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lastRenderedPageBreak/>
        <w:t>Приложение №</w:t>
      </w:r>
      <w:r w:rsidR="003A26B1" w:rsidRPr="00444E8C">
        <w:rPr>
          <w:rFonts w:ascii="Arial" w:hAnsi="Arial" w:cs="Arial"/>
          <w:sz w:val="24"/>
          <w:szCs w:val="24"/>
        </w:rPr>
        <w:t xml:space="preserve"> </w:t>
      </w:r>
      <w:r w:rsidR="00E17C6F" w:rsidRPr="00444E8C">
        <w:rPr>
          <w:rFonts w:ascii="Arial" w:hAnsi="Arial" w:cs="Arial"/>
          <w:sz w:val="24"/>
          <w:szCs w:val="24"/>
        </w:rPr>
        <w:t>2</w:t>
      </w:r>
    </w:p>
    <w:p w:rsidR="003A26B1" w:rsidRPr="00444E8C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к решению Совета</w:t>
      </w:r>
    </w:p>
    <w:p w:rsidR="003A26B1" w:rsidRPr="00444E8C" w:rsidRDefault="00BA5E88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444E8C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96461" w:rsidRPr="00444E8C">
        <w:rPr>
          <w:rFonts w:ascii="Arial" w:hAnsi="Arial" w:cs="Arial"/>
          <w:sz w:val="24"/>
          <w:szCs w:val="24"/>
        </w:rPr>
        <w:t xml:space="preserve"> </w:t>
      </w:r>
      <w:r w:rsidR="003A26B1" w:rsidRPr="00444E8C">
        <w:rPr>
          <w:rFonts w:ascii="Arial" w:hAnsi="Arial" w:cs="Arial"/>
          <w:sz w:val="24"/>
          <w:szCs w:val="24"/>
        </w:rPr>
        <w:t>сельского поселения</w:t>
      </w:r>
    </w:p>
    <w:p w:rsidR="003A26B1" w:rsidRPr="00444E8C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444E8C" w:rsidRDefault="00596461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от 12.04.2018г. № 62</w:t>
      </w:r>
    </w:p>
    <w:p w:rsidR="007E6ED9" w:rsidRPr="00444E8C" w:rsidRDefault="007E6ED9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3A26B1" w:rsidRPr="00444E8C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(в редакции</w:t>
      </w:r>
      <w:r w:rsidR="003A26B1" w:rsidRPr="00444E8C">
        <w:rPr>
          <w:rFonts w:ascii="Arial" w:hAnsi="Arial" w:cs="Arial"/>
          <w:sz w:val="24"/>
          <w:szCs w:val="24"/>
        </w:rPr>
        <w:t xml:space="preserve"> решени</w:t>
      </w:r>
      <w:r w:rsidRPr="00444E8C">
        <w:rPr>
          <w:rFonts w:ascii="Arial" w:hAnsi="Arial" w:cs="Arial"/>
          <w:sz w:val="24"/>
          <w:szCs w:val="24"/>
        </w:rPr>
        <w:t>я</w:t>
      </w:r>
      <w:r w:rsidR="003A26B1" w:rsidRPr="00444E8C">
        <w:rPr>
          <w:rFonts w:ascii="Arial" w:hAnsi="Arial" w:cs="Arial"/>
          <w:sz w:val="24"/>
          <w:szCs w:val="24"/>
        </w:rPr>
        <w:t xml:space="preserve"> Совета</w:t>
      </w:r>
    </w:p>
    <w:p w:rsidR="003A26B1" w:rsidRPr="00444E8C" w:rsidRDefault="00BA5E88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444E8C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96461" w:rsidRPr="00444E8C">
        <w:rPr>
          <w:rFonts w:ascii="Arial" w:hAnsi="Arial" w:cs="Arial"/>
          <w:sz w:val="24"/>
          <w:szCs w:val="24"/>
        </w:rPr>
        <w:t xml:space="preserve"> </w:t>
      </w:r>
      <w:r w:rsidR="003A26B1" w:rsidRPr="00444E8C">
        <w:rPr>
          <w:rFonts w:ascii="Arial" w:hAnsi="Arial" w:cs="Arial"/>
          <w:sz w:val="24"/>
          <w:szCs w:val="24"/>
        </w:rPr>
        <w:t>сельского поселения</w:t>
      </w:r>
    </w:p>
    <w:p w:rsidR="003A26B1" w:rsidRPr="00444E8C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444E8C" w:rsidRDefault="007035FB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 xml:space="preserve">от </w:t>
      </w:r>
      <w:r w:rsidR="00731DE2" w:rsidRPr="00444E8C">
        <w:rPr>
          <w:rFonts w:ascii="Arial" w:hAnsi="Arial" w:cs="Arial"/>
          <w:sz w:val="24"/>
          <w:szCs w:val="24"/>
        </w:rPr>
        <w:t>27.06.</w:t>
      </w:r>
      <w:r w:rsidRPr="00444E8C">
        <w:rPr>
          <w:rFonts w:ascii="Arial" w:hAnsi="Arial" w:cs="Arial"/>
          <w:sz w:val="24"/>
          <w:szCs w:val="24"/>
        </w:rPr>
        <w:t>2024</w:t>
      </w:r>
      <w:r w:rsidR="00596461" w:rsidRPr="00444E8C">
        <w:rPr>
          <w:rFonts w:ascii="Arial" w:hAnsi="Arial" w:cs="Arial"/>
          <w:sz w:val="24"/>
          <w:szCs w:val="24"/>
        </w:rPr>
        <w:t>г. № 112</w:t>
      </w:r>
    </w:p>
    <w:p w:rsidR="003A26B1" w:rsidRPr="00444E8C" w:rsidRDefault="003A26B1" w:rsidP="003A26B1">
      <w:pPr>
        <w:pStyle w:val="ConsPlusTitle"/>
        <w:rPr>
          <w:sz w:val="24"/>
          <w:szCs w:val="24"/>
        </w:rPr>
      </w:pPr>
    </w:p>
    <w:p w:rsidR="003A26B1" w:rsidRPr="00444E8C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444E8C" w:rsidRDefault="003A26B1" w:rsidP="00C408D7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BA5E88" w:rsidRPr="00444E8C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B72AB" w:rsidRPr="00444E8C">
        <w:rPr>
          <w:rFonts w:ascii="Arial" w:hAnsi="Arial" w:cs="Arial"/>
          <w:sz w:val="24"/>
          <w:szCs w:val="24"/>
        </w:rPr>
        <w:t xml:space="preserve"> </w:t>
      </w:r>
      <w:r w:rsidRPr="00444E8C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</w:p>
    <w:p w:rsidR="003A26B1" w:rsidRPr="00444E8C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444E8C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444E8C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444E8C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444E8C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444E8C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444E8C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444E8C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444E8C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444E8C" w:rsidRDefault="00CC2359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18 260</w:t>
            </w:r>
          </w:p>
        </w:tc>
      </w:tr>
    </w:tbl>
    <w:p w:rsidR="003A26B1" w:rsidRPr="00444E8C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6B1" w:rsidRPr="00444E8C" w:rsidRDefault="003A26B1" w:rsidP="003A26B1">
      <w:pPr>
        <w:rPr>
          <w:rFonts w:ascii="Arial" w:hAnsi="Arial" w:cs="Arial"/>
          <w:sz w:val="24"/>
          <w:szCs w:val="24"/>
        </w:rPr>
      </w:pPr>
    </w:p>
    <w:p w:rsidR="003A26B1" w:rsidRPr="00444E8C" w:rsidRDefault="003A26B1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58541C" w:rsidP="0058541C">
      <w:pPr>
        <w:jc w:val="center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______________________</w:t>
      </w: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58541C" w:rsidRPr="00444E8C" w:rsidRDefault="0058541C" w:rsidP="00725F0C">
      <w:pPr>
        <w:rPr>
          <w:rFonts w:ascii="Arial" w:hAnsi="Arial" w:cs="Arial"/>
          <w:sz w:val="24"/>
          <w:szCs w:val="24"/>
        </w:rPr>
      </w:pPr>
    </w:p>
    <w:p w:rsidR="0058541C" w:rsidRPr="00444E8C" w:rsidRDefault="0058541C" w:rsidP="00725F0C">
      <w:pPr>
        <w:rPr>
          <w:rFonts w:ascii="Arial" w:hAnsi="Arial" w:cs="Arial"/>
          <w:sz w:val="24"/>
          <w:szCs w:val="24"/>
        </w:rPr>
      </w:pPr>
    </w:p>
    <w:p w:rsidR="00E44932" w:rsidRPr="00444E8C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Default="00E44932" w:rsidP="00725F0C">
      <w:pPr>
        <w:rPr>
          <w:rFonts w:ascii="Arial" w:hAnsi="Arial" w:cs="Arial"/>
          <w:sz w:val="24"/>
          <w:szCs w:val="24"/>
        </w:rPr>
      </w:pPr>
    </w:p>
    <w:p w:rsidR="00444E8C" w:rsidRDefault="00444E8C" w:rsidP="00725F0C">
      <w:pPr>
        <w:rPr>
          <w:rFonts w:ascii="Arial" w:hAnsi="Arial" w:cs="Arial"/>
          <w:sz w:val="24"/>
          <w:szCs w:val="24"/>
        </w:rPr>
      </w:pPr>
    </w:p>
    <w:p w:rsidR="00444E8C" w:rsidRDefault="00444E8C" w:rsidP="00725F0C">
      <w:pPr>
        <w:rPr>
          <w:rFonts w:ascii="Arial" w:hAnsi="Arial" w:cs="Arial"/>
          <w:sz w:val="24"/>
          <w:szCs w:val="24"/>
        </w:rPr>
      </w:pPr>
    </w:p>
    <w:p w:rsidR="00444E8C" w:rsidRDefault="00444E8C" w:rsidP="00725F0C">
      <w:pPr>
        <w:rPr>
          <w:rFonts w:ascii="Arial" w:hAnsi="Arial" w:cs="Arial"/>
          <w:sz w:val="24"/>
          <w:szCs w:val="24"/>
        </w:rPr>
      </w:pPr>
    </w:p>
    <w:p w:rsidR="00444E8C" w:rsidRDefault="00444E8C" w:rsidP="00725F0C">
      <w:pPr>
        <w:rPr>
          <w:rFonts w:ascii="Arial" w:hAnsi="Arial" w:cs="Arial"/>
          <w:sz w:val="24"/>
          <w:szCs w:val="24"/>
        </w:rPr>
      </w:pPr>
    </w:p>
    <w:p w:rsidR="00444E8C" w:rsidRPr="00444E8C" w:rsidRDefault="00444E8C" w:rsidP="00725F0C">
      <w:pPr>
        <w:rPr>
          <w:rFonts w:ascii="Arial" w:hAnsi="Arial" w:cs="Arial"/>
          <w:sz w:val="24"/>
          <w:szCs w:val="24"/>
        </w:rPr>
      </w:pPr>
    </w:p>
    <w:p w:rsidR="00E44932" w:rsidRPr="00444E8C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444E8C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444E8C" w:rsidRDefault="00E44932" w:rsidP="00725F0C">
      <w:pPr>
        <w:rPr>
          <w:rFonts w:ascii="Arial" w:hAnsi="Arial" w:cs="Arial"/>
          <w:sz w:val="24"/>
          <w:szCs w:val="24"/>
        </w:rPr>
      </w:pPr>
    </w:p>
    <w:p w:rsidR="00E44932" w:rsidRPr="00444E8C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lastRenderedPageBreak/>
        <w:t xml:space="preserve">Приложение № 15 </w:t>
      </w:r>
    </w:p>
    <w:p w:rsidR="00E44932" w:rsidRPr="00444E8C" w:rsidRDefault="00E44932" w:rsidP="00E44932">
      <w:pPr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к решению Совета</w:t>
      </w:r>
    </w:p>
    <w:p w:rsidR="007E6ED9" w:rsidRPr="00444E8C" w:rsidRDefault="00BA5E88" w:rsidP="00E44932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444E8C">
        <w:rPr>
          <w:rFonts w:ascii="Arial" w:hAnsi="Arial" w:cs="Arial"/>
          <w:sz w:val="24"/>
          <w:szCs w:val="24"/>
        </w:rPr>
        <w:t>Салиховского</w:t>
      </w:r>
      <w:r w:rsidR="007E6ED9" w:rsidRPr="00444E8C">
        <w:rPr>
          <w:rFonts w:ascii="Arial" w:hAnsi="Arial" w:cs="Arial"/>
          <w:sz w:val="24"/>
          <w:szCs w:val="24"/>
        </w:rPr>
        <w:t>сельского</w:t>
      </w:r>
      <w:proofErr w:type="spellEnd"/>
      <w:r w:rsidR="007E6ED9" w:rsidRPr="00444E8C">
        <w:rPr>
          <w:rFonts w:ascii="Arial" w:hAnsi="Arial" w:cs="Arial"/>
          <w:sz w:val="24"/>
          <w:szCs w:val="24"/>
        </w:rPr>
        <w:t xml:space="preserve"> поселения</w:t>
      </w:r>
    </w:p>
    <w:p w:rsidR="00E44932" w:rsidRPr="00444E8C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20F75" w:rsidRPr="00444E8C" w:rsidRDefault="00E44932" w:rsidP="00720F75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 xml:space="preserve"> </w:t>
      </w:r>
      <w:r w:rsidR="00596461" w:rsidRPr="00444E8C">
        <w:rPr>
          <w:rFonts w:ascii="Arial" w:hAnsi="Arial" w:cs="Arial"/>
          <w:sz w:val="24"/>
          <w:szCs w:val="24"/>
        </w:rPr>
        <w:t>от 12</w:t>
      </w:r>
      <w:r w:rsidR="00720F75" w:rsidRPr="00444E8C">
        <w:rPr>
          <w:rFonts w:ascii="Arial" w:hAnsi="Arial" w:cs="Arial"/>
          <w:sz w:val="24"/>
          <w:szCs w:val="24"/>
        </w:rPr>
        <w:t xml:space="preserve">.04.2018г. № </w:t>
      </w:r>
      <w:r w:rsidR="00596461" w:rsidRPr="00444E8C">
        <w:rPr>
          <w:rFonts w:ascii="Arial" w:hAnsi="Arial" w:cs="Arial"/>
          <w:sz w:val="24"/>
          <w:szCs w:val="24"/>
        </w:rPr>
        <w:t>62</w:t>
      </w:r>
    </w:p>
    <w:p w:rsidR="00E44932" w:rsidRPr="00444E8C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444E8C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(в редакции решения Совета</w:t>
      </w:r>
    </w:p>
    <w:p w:rsidR="00E44932" w:rsidRPr="00444E8C" w:rsidRDefault="00BA5E88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444E8C">
        <w:rPr>
          <w:rFonts w:ascii="Arial" w:hAnsi="Arial" w:cs="Arial"/>
          <w:sz w:val="24"/>
          <w:szCs w:val="24"/>
        </w:rPr>
        <w:t>Салиховского</w:t>
      </w:r>
      <w:r w:rsidR="00E44932" w:rsidRPr="00444E8C">
        <w:rPr>
          <w:rFonts w:ascii="Arial" w:hAnsi="Arial" w:cs="Arial"/>
          <w:sz w:val="24"/>
          <w:szCs w:val="24"/>
        </w:rPr>
        <w:t>сельского</w:t>
      </w:r>
      <w:proofErr w:type="spellEnd"/>
      <w:r w:rsidR="00E44932" w:rsidRPr="00444E8C">
        <w:rPr>
          <w:rFonts w:ascii="Arial" w:hAnsi="Arial" w:cs="Arial"/>
          <w:sz w:val="24"/>
          <w:szCs w:val="24"/>
        </w:rPr>
        <w:t xml:space="preserve"> поселения</w:t>
      </w:r>
    </w:p>
    <w:p w:rsidR="007E6ED9" w:rsidRPr="00444E8C" w:rsidRDefault="007E6ED9" w:rsidP="007E6ED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31DE2" w:rsidRPr="00444E8C" w:rsidRDefault="00731DE2" w:rsidP="00731DE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от 27.06.2024г. № 112</w:t>
      </w:r>
    </w:p>
    <w:p w:rsidR="00731DE2" w:rsidRPr="00444E8C" w:rsidRDefault="00731DE2" w:rsidP="00731DE2">
      <w:pPr>
        <w:pStyle w:val="ConsPlusTitle"/>
        <w:rPr>
          <w:sz w:val="24"/>
          <w:szCs w:val="24"/>
        </w:rPr>
      </w:pPr>
    </w:p>
    <w:p w:rsidR="00E44932" w:rsidRPr="00444E8C" w:rsidRDefault="00E44932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408D7" w:rsidRPr="00444E8C" w:rsidRDefault="00C408D7" w:rsidP="00E449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4932" w:rsidRPr="00444E8C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E44932" w:rsidRPr="00444E8C" w:rsidRDefault="00E44932" w:rsidP="00E449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444E8C" w:rsidRDefault="00E44932" w:rsidP="00E4493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444E8C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E44932" w:rsidRPr="00444E8C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444E8C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444E8C">
              <w:rPr>
                <w:rFonts w:ascii="Arial" w:hAnsi="Arial" w:cs="Arial"/>
                <w:sz w:val="24"/>
                <w:szCs w:val="24"/>
              </w:rPr>
              <w:tab/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E44932" w:rsidRPr="00444E8C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44932" w:rsidRPr="00444E8C" w:rsidRDefault="00E44932" w:rsidP="00E44932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4E8C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Pr="00444E8C" w:rsidRDefault="00E44932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444E8C" w:rsidRDefault="00E17C6F" w:rsidP="00725F0C">
      <w:pPr>
        <w:rPr>
          <w:rFonts w:ascii="Arial" w:hAnsi="Arial" w:cs="Arial"/>
          <w:sz w:val="24"/>
          <w:szCs w:val="24"/>
        </w:rPr>
      </w:pPr>
    </w:p>
    <w:sectPr w:rsidR="00E17C6F" w:rsidRPr="00444E8C" w:rsidSect="00444E8C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84" w:rsidRDefault="00366284" w:rsidP="008F67C9">
      <w:r>
        <w:separator/>
      </w:r>
    </w:p>
  </w:endnote>
  <w:endnote w:type="continuationSeparator" w:id="0">
    <w:p w:rsidR="00366284" w:rsidRDefault="0036628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84" w:rsidRDefault="00366284" w:rsidP="008F67C9">
      <w:r>
        <w:separator/>
      </w:r>
    </w:p>
  </w:footnote>
  <w:footnote w:type="continuationSeparator" w:id="0">
    <w:p w:rsidR="00366284" w:rsidRDefault="0036628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4F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44B1"/>
    <w:rsid w:val="001C71C0"/>
    <w:rsid w:val="001F4089"/>
    <w:rsid w:val="001F420D"/>
    <w:rsid w:val="0020785C"/>
    <w:rsid w:val="002124F5"/>
    <w:rsid w:val="00232430"/>
    <w:rsid w:val="0023370A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66284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44E8C"/>
    <w:rsid w:val="00450651"/>
    <w:rsid w:val="00463BA4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86D18"/>
    <w:rsid w:val="005917E7"/>
    <w:rsid w:val="00593C26"/>
    <w:rsid w:val="00594999"/>
    <w:rsid w:val="00596461"/>
    <w:rsid w:val="005A4E62"/>
    <w:rsid w:val="005A5729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31DE2"/>
    <w:rsid w:val="00741802"/>
    <w:rsid w:val="00753F0D"/>
    <w:rsid w:val="007652F7"/>
    <w:rsid w:val="00766499"/>
    <w:rsid w:val="00772441"/>
    <w:rsid w:val="00773841"/>
    <w:rsid w:val="00783DDF"/>
    <w:rsid w:val="007856DE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6B3"/>
    <w:rsid w:val="00926FD4"/>
    <w:rsid w:val="00931DEB"/>
    <w:rsid w:val="00940179"/>
    <w:rsid w:val="009460A0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A5E88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3E30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B72AB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5E3E"/>
  <w15:docId w15:val="{513B3EC6-9EB5-4AD0-866D-0D52470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2024-06-26T06:36:00Z</cp:lastPrinted>
  <dcterms:created xsi:type="dcterms:W3CDTF">2024-07-03T10:09:00Z</dcterms:created>
  <dcterms:modified xsi:type="dcterms:W3CDTF">2024-07-03T10:09:00Z</dcterms:modified>
</cp:coreProperties>
</file>