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46"/>
        <w:gridCol w:w="4304"/>
      </w:tblGrid>
      <w:tr w:rsidR="00621985" w:rsidRPr="000B7899">
        <w:trPr>
          <w:trHeight w:val="1243"/>
        </w:trPr>
        <w:tc>
          <w:tcPr>
            <w:tcW w:w="4400" w:type="dxa"/>
          </w:tcPr>
          <w:p w:rsidR="00621985" w:rsidRPr="000B7899" w:rsidRDefault="00214622">
            <w:pPr>
              <w:widowControl w:val="0"/>
              <w:spacing w:before="23" w:after="23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ИСПОЛНИТЕЛЬНЫЙ КОМИТЕТ</w:t>
            </w:r>
          </w:p>
          <w:p w:rsidR="00621985" w:rsidRPr="000B7899" w:rsidRDefault="00214622">
            <w:pPr>
              <w:widowControl w:val="0"/>
              <w:spacing w:before="23" w:after="23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096" w:type="dxa"/>
            <w:gridSpan w:val="2"/>
          </w:tcPr>
          <w:p w:rsidR="00621985" w:rsidRPr="000B7899" w:rsidRDefault="00214622">
            <w:pPr>
              <w:widowControl w:val="0"/>
              <w:spacing w:line="264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noProof/>
                <w:sz w:val="24"/>
                <w:szCs w:val="24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655320" cy="777240"/>
                  <wp:effectExtent l="0" t="0" r="0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21985" w:rsidRPr="000B7899" w:rsidRDefault="00621985">
            <w:pPr>
              <w:widowControl w:val="0"/>
              <w:spacing w:line="264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21985" w:rsidRPr="000B7899" w:rsidRDefault="0062198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21985" w:rsidRPr="000B7899" w:rsidRDefault="00621985">
            <w:pPr>
              <w:widowControl w:val="0"/>
              <w:spacing w:line="264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04" w:type="dxa"/>
          </w:tcPr>
          <w:p w:rsidR="00621985" w:rsidRPr="000B7899" w:rsidRDefault="00214622">
            <w:pPr>
              <w:keepNext/>
              <w:widowControl w:val="0"/>
              <w:tabs>
                <w:tab w:val="left" w:pos="1277"/>
              </w:tabs>
              <w:spacing w:before="23" w:after="23"/>
              <w:jc w:val="center"/>
              <w:outlineLvl w:val="1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 xml:space="preserve">ТАТАРСТАН </w:t>
            </w:r>
            <w:proofErr w:type="spellStart"/>
            <w:r w:rsidRPr="000B7899">
              <w:rPr>
                <w:rFonts w:ascii="Arial" w:hAnsi="Arial"/>
                <w:sz w:val="24"/>
                <w:szCs w:val="24"/>
              </w:rPr>
              <w:t>РЕСПУБЛИКАСЫ</w:t>
            </w:r>
            <w:proofErr w:type="spellEnd"/>
            <w:r w:rsidRPr="000B7899">
              <w:rPr>
                <w:rFonts w:ascii="Arial" w:hAnsi="Arial"/>
                <w:sz w:val="24"/>
                <w:szCs w:val="24"/>
                <w:lang w:val="ar-SA"/>
              </w:rPr>
              <w:t xml:space="preserve"> БАУЛЫ</w:t>
            </w:r>
          </w:p>
          <w:p w:rsidR="00621985" w:rsidRPr="000B7899" w:rsidRDefault="00214622">
            <w:pPr>
              <w:keepNext/>
              <w:widowControl w:val="0"/>
              <w:spacing w:before="23" w:after="23"/>
              <w:jc w:val="center"/>
              <w:outlineLvl w:val="1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  <w:lang w:val="tt-RU"/>
              </w:rPr>
              <w:t>МУНИ</w:t>
            </w:r>
            <w:r w:rsidRPr="000B7899">
              <w:rPr>
                <w:rFonts w:ascii="Arial" w:hAnsi="Arial"/>
                <w:sz w:val="24"/>
                <w:szCs w:val="24"/>
              </w:rPr>
              <w:t>Ц</w:t>
            </w:r>
            <w:r w:rsidRPr="000B7899">
              <w:rPr>
                <w:rFonts w:ascii="Arial" w:hAnsi="Arial"/>
                <w:sz w:val="24"/>
                <w:szCs w:val="24"/>
                <w:lang w:val="tt-RU"/>
              </w:rPr>
              <w:t xml:space="preserve">ИПАЛЬ </w:t>
            </w:r>
            <w:r w:rsidRPr="000B7899">
              <w:rPr>
                <w:rFonts w:ascii="Arial" w:hAnsi="Arial"/>
                <w:sz w:val="24"/>
                <w:szCs w:val="24"/>
              </w:rPr>
              <w:t>РАЙОНЫ</w:t>
            </w:r>
          </w:p>
          <w:p w:rsidR="00621985" w:rsidRPr="000B7899" w:rsidRDefault="00214622">
            <w:pPr>
              <w:widowControl w:val="0"/>
              <w:spacing w:before="23" w:after="23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0B7899">
              <w:rPr>
                <w:rFonts w:ascii="Arial" w:hAnsi="Arial"/>
                <w:sz w:val="24"/>
                <w:szCs w:val="24"/>
              </w:rPr>
              <w:t>БАШКАРМА</w:t>
            </w:r>
            <w:proofErr w:type="spellEnd"/>
            <w:r w:rsidRPr="000B7899">
              <w:rPr>
                <w:rFonts w:ascii="Arial" w:hAnsi="Arial"/>
                <w:sz w:val="24"/>
                <w:szCs w:val="24"/>
              </w:rPr>
              <w:t xml:space="preserve"> КОМИТЕТЫ</w:t>
            </w:r>
          </w:p>
        </w:tc>
      </w:tr>
      <w:tr w:rsidR="00621985" w:rsidRPr="000B7899">
        <w:trPr>
          <w:trHeight w:hRule="exact" w:val="387"/>
        </w:trPr>
        <w:tc>
          <w:tcPr>
            <w:tcW w:w="9800" w:type="dxa"/>
            <w:gridSpan w:val="4"/>
          </w:tcPr>
          <w:p w:rsidR="00621985" w:rsidRPr="000B7899" w:rsidRDefault="00621985">
            <w:pPr>
              <w:widowControl w:val="0"/>
              <w:pBdr>
                <w:bottom w:val="single" w:sz="18" w:space="1" w:color="000000"/>
              </w:pBdr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21985" w:rsidRPr="000B7899" w:rsidRDefault="0062198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21985" w:rsidRPr="000B7899">
        <w:trPr>
          <w:trHeight w:val="413"/>
        </w:trPr>
        <w:tc>
          <w:tcPr>
            <w:tcW w:w="4850" w:type="dxa"/>
            <w:gridSpan w:val="2"/>
            <w:vAlign w:val="bottom"/>
          </w:tcPr>
          <w:p w:rsidR="00621985" w:rsidRPr="000B7899" w:rsidRDefault="00214622">
            <w:pPr>
              <w:widowControl w:val="0"/>
              <w:tabs>
                <w:tab w:val="left" w:pos="743"/>
                <w:tab w:val="left" w:pos="807"/>
                <w:tab w:val="left" w:pos="1242"/>
                <w:tab w:val="left" w:pos="3720"/>
                <w:tab w:val="left" w:pos="3792"/>
              </w:tabs>
              <w:rPr>
                <w:rFonts w:ascii="Arial" w:hAnsi="Arial"/>
                <w:b/>
                <w:sz w:val="24"/>
                <w:szCs w:val="24"/>
              </w:rPr>
            </w:pPr>
            <w:r w:rsidRPr="000B7899">
              <w:rPr>
                <w:rFonts w:ascii="Arial" w:hAnsi="Arial"/>
                <w:b/>
                <w:sz w:val="24"/>
                <w:szCs w:val="24"/>
              </w:rPr>
              <w:t xml:space="preserve"> 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621985" w:rsidRPr="000B7899" w:rsidRDefault="00214622">
            <w:pPr>
              <w:widowControl w:val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B7899">
              <w:rPr>
                <w:rFonts w:ascii="Arial" w:hAnsi="Arial"/>
                <w:b/>
                <w:sz w:val="24"/>
                <w:szCs w:val="24"/>
              </w:rPr>
              <w:t xml:space="preserve">        </w:t>
            </w:r>
            <w:proofErr w:type="spellStart"/>
            <w:r w:rsidRPr="000B7899">
              <w:rPr>
                <w:rFonts w:ascii="Arial" w:hAnsi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621985" w:rsidRPr="000B7899">
        <w:trPr>
          <w:trHeight w:val="630"/>
        </w:trPr>
        <w:tc>
          <w:tcPr>
            <w:tcW w:w="9800" w:type="dxa"/>
            <w:gridSpan w:val="4"/>
            <w:vAlign w:val="bottom"/>
          </w:tcPr>
          <w:p w:rsidR="00621985" w:rsidRPr="000B7899" w:rsidRDefault="00621985">
            <w:pPr>
              <w:widowControl w:val="0"/>
              <w:spacing w:line="120" w:lineRule="auto"/>
              <w:rPr>
                <w:rFonts w:ascii="Arial" w:hAnsi="Arial"/>
                <w:sz w:val="24"/>
                <w:szCs w:val="24"/>
              </w:rPr>
            </w:pPr>
          </w:p>
          <w:p w:rsidR="00621985" w:rsidRPr="000B7899" w:rsidRDefault="00621985" w:rsidP="000B7899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621985" w:rsidRPr="000B7899" w:rsidRDefault="00621985">
      <w:pPr>
        <w:spacing w:line="283" w:lineRule="atLeast"/>
        <w:rPr>
          <w:rFonts w:ascii="Arial" w:hAnsi="Arial"/>
          <w:sz w:val="24"/>
          <w:szCs w:val="24"/>
        </w:rPr>
      </w:pPr>
    </w:p>
    <w:p w:rsidR="00621985" w:rsidRPr="000B7899" w:rsidRDefault="00214622">
      <w:pPr>
        <w:shd w:val="clear" w:color="auto" w:fill="FFFFFF"/>
        <w:tabs>
          <w:tab w:val="left" w:pos="3686"/>
          <w:tab w:val="left" w:pos="4253"/>
        </w:tabs>
        <w:spacing w:line="283" w:lineRule="atLeast"/>
        <w:ind w:right="4732"/>
        <w:jc w:val="both"/>
        <w:rPr>
          <w:rFonts w:ascii="Arial" w:eastAsia="SimSun" w:hAnsi="Arial"/>
          <w:kern w:val="2"/>
          <w:sz w:val="24"/>
          <w:szCs w:val="24"/>
          <w:lang w:eastAsia="zh-CN" w:bidi="hi-IN"/>
        </w:rPr>
      </w:pPr>
      <w:bookmarkStart w:id="0" w:name="_GoBack"/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Об утверждении регламента сбора и мониторинга </w:t>
      </w:r>
      <w:bookmarkStart w:id="1" w:name="_Hlk106372709"/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данных, необходимых для расчета</w:t>
      </w:r>
      <w:bookmarkEnd w:id="1"/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 показателя «Количество семей, улучшивших жилищные условия» за отчетный период, декомпозированного на муниципальный уровень, по </w:t>
      </w:r>
      <w:proofErr w:type="spellStart"/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Бавлинскому</w:t>
      </w:r>
      <w:proofErr w:type="spellEnd"/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 муниципа</w:t>
      </w: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льному району Республики Татарстан </w:t>
      </w:r>
    </w:p>
    <w:bookmarkEnd w:id="0"/>
    <w:p w:rsidR="00621985" w:rsidRPr="000B7899" w:rsidRDefault="00621985">
      <w:pPr>
        <w:rPr>
          <w:rFonts w:ascii="Arial" w:hAnsi="Arial"/>
          <w:sz w:val="24"/>
          <w:szCs w:val="24"/>
        </w:rPr>
      </w:pPr>
    </w:p>
    <w:p w:rsidR="00621985" w:rsidRPr="000B7899" w:rsidRDefault="00214622">
      <w:pPr>
        <w:spacing w:line="336" w:lineRule="auto"/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В соответствии с Указом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</w:t>
      </w:r>
      <w:r w:rsidRPr="000B7899">
        <w:rPr>
          <w:rFonts w:ascii="Arial" w:hAnsi="Arial"/>
          <w:sz w:val="24"/>
          <w:szCs w:val="24"/>
        </w:rPr>
        <w:t>йской Федерации и деятельности органов исполнительной власти субъектов Российской Федерации» Исполнительный комитет Бавлинского муниципального района Республики Татарстан</w:t>
      </w:r>
    </w:p>
    <w:p w:rsidR="00621985" w:rsidRPr="000B7899" w:rsidRDefault="00214622">
      <w:pPr>
        <w:widowControl w:val="0"/>
        <w:spacing w:line="336" w:lineRule="auto"/>
        <w:jc w:val="center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П О С Т А Н О В Л Я Е Т:</w:t>
      </w:r>
    </w:p>
    <w:p w:rsidR="00621985" w:rsidRPr="000B7899" w:rsidRDefault="00214622">
      <w:pPr>
        <w:spacing w:line="336" w:lineRule="auto"/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1. Утвердить прилагаемый регламент сбора и мониторинга данны</w:t>
      </w:r>
      <w:r w:rsidRPr="000B7899">
        <w:rPr>
          <w:rFonts w:ascii="Arial" w:hAnsi="Arial"/>
          <w:sz w:val="24"/>
          <w:szCs w:val="24"/>
        </w:rPr>
        <w:t xml:space="preserve">х, необходимых для расчета показателя «Количество семей, улучшивших жилищные условия» за отчетный период, декомпозированного на муниципальный уровень (далее – Показатель), по </w:t>
      </w:r>
      <w:proofErr w:type="spellStart"/>
      <w:r w:rsidRPr="000B7899">
        <w:rPr>
          <w:rFonts w:ascii="Arial" w:hAnsi="Arial"/>
          <w:sz w:val="24"/>
          <w:szCs w:val="24"/>
        </w:rPr>
        <w:t>Бавлинскому</w:t>
      </w:r>
      <w:proofErr w:type="spellEnd"/>
      <w:r w:rsidRPr="000B7899">
        <w:rPr>
          <w:rFonts w:ascii="Arial" w:hAnsi="Arial"/>
          <w:sz w:val="24"/>
          <w:szCs w:val="24"/>
        </w:rPr>
        <w:t xml:space="preserve"> муниципальному району Республики Татарстан.</w:t>
      </w:r>
    </w:p>
    <w:p w:rsidR="00621985" w:rsidRPr="000B7899" w:rsidRDefault="00214622">
      <w:pPr>
        <w:spacing w:line="336" w:lineRule="auto"/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2. Опубликовать настоящее</w:t>
      </w:r>
      <w:r w:rsidRPr="000B7899">
        <w:rPr>
          <w:rFonts w:ascii="Arial" w:hAnsi="Arial"/>
          <w:sz w:val="24"/>
          <w:szCs w:val="24"/>
        </w:rPr>
        <w:t xml:space="preserve">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621985" w:rsidRDefault="00214622">
      <w:pPr>
        <w:shd w:val="clear" w:color="auto" w:fill="FFFFFF"/>
        <w:spacing w:line="336" w:lineRule="auto"/>
        <w:ind w:firstLine="709"/>
        <w:jc w:val="both"/>
        <w:textAlignment w:val="baseline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3. Контроль за исполнением настоящего постанов</w:t>
      </w:r>
      <w:r w:rsidRPr="000B7899">
        <w:rPr>
          <w:rFonts w:ascii="Arial" w:hAnsi="Arial"/>
          <w:sz w:val="24"/>
          <w:szCs w:val="24"/>
        </w:rPr>
        <w:t>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0B7899" w:rsidRDefault="000B7899">
      <w:pPr>
        <w:shd w:val="clear" w:color="auto" w:fill="FFFFFF"/>
        <w:spacing w:line="336" w:lineRule="auto"/>
        <w:ind w:firstLine="709"/>
        <w:jc w:val="both"/>
        <w:textAlignment w:val="baseline"/>
        <w:rPr>
          <w:rFonts w:ascii="Arial" w:hAnsi="Arial"/>
          <w:sz w:val="24"/>
          <w:szCs w:val="24"/>
        </w:rPr>
      </w:pPr>
    </w:p>
    <w:p w:rsidR="000B7899" w:rsidRPr="000B7899" w:rsidRDefault="000B7899">
      <w:pPr>
        <w:shd w:val="clear" w:color="auto" w:fill="FFFFFF"/>
        <w:spacing w:line="336" w:lineRule="auto"/>
        <w:ind w:firstLine="709"/>
        <w:jc w:val="both"/>
        <w:textAlignment w:val="baseline"/>
        <w:rPr>
          <w:rFonts w:ascii="Arial" w:hAnsi="Arial"/>
          <w:sz w:val="24"/>
          <w:szCs w:val="24"/>
        </w:rPr>
      </w:pPr>
    </w:p>
    <w:p w:rsidR="00621985" w:rsidRPr="000B7899" w:rsidRDefault="00214622">
      <w:pPr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ab/>
        <w:t xml:space="preserve">Руководитель </w:t>
      </w:r>
      <w:r w:rsidRPr="000B7899">
        <w:rPr>
          <w:rFonts w:ascii="Arial" w:hAnsi="Arial"/>
          <w:sz w:val="24"/>
          <w:szCs w:val="24"/>
        </w:rPr>
        <w:tab/>
      </w:r>
      <w:r w:rsidRPr="000B7899">
        <w:rPr>
          <w:rFonts w:ascii="Arial" w:hAnsi="Arial"/>
          <w:sz w:val="24"/>
          <w:szCs w:val="24"/>
        </w:rPr>
        <w:tab/>
      </w:r>
      <w:r w:rsidRPr="000B7899">
        <w:rPr>
          <w:rFonts w:ascii="Arial" w:hAnsi="Arial"/>
          <w:sz w:val="24"/>
          <w:szCs w:val="24"/>
        </w:rPr>
        <w:tab/>
      </w:r>
      <w:r w:rsidRPr="000B7899">
        <w:rPr>
          <w:rFonts w:ascii="Arial" w:hAnsi="Arial"/>
          <w:sz w:val="24"/>
          <w:szCs w:val="24"/>
        </w:rPr>
        <w:tab/>
      </w:r>
      <w:r w:rsidRPr="000B7899">
        <w:rPr>
          <w:rFonts w:ascii="Arial" w:hAnsi="Arial"/>
          <w:sz w:val="24"/>
          <w:szCs w:val="24"/>
        </w:rPr>
        <w:tab/>
      </w:r>
      <w:r w:rsidRPr="000B7899">
        <w:rPr>
          <w:rFonts w:ascii="Arial" w:hAnsi="Arial"/>
          <w:sz w:val="24"/>
          <w:szCs w:val="24"/>
        </w:rPr>
        <w:tab/>
        <w:t xml:space="preserve">                        </w:t>
      </w:r>
      <w:proofErr w:type="spellStart"/>
      <w:r w:rsidRPr="000B7899">
        <w:rPr>
          <w:rFonts w:ascii="Arial" w:hAnsi="Arial"/>
          <w:sz w:val="24"/>
          <w:szCs w:val="24"/>
        </w:rPr>
        <w:t>Д.Л</w:t>
      </w:r>
      <w:proofErr w:type="spellEnd"/>
      <w:r w:rsidRPr="000B7899">
        <w:rPr>
          <w:rFonts w:ascii="Arial" w:hAnsi="Arial"/>
          <w:sz w:val="24"/>
          <w:szCs w:val="24"/>
        </w:rPr>
        <w:t>. Бакиров</w:t>
      </w: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lastRenderedPageBreak/>
        <w:t>УТВЕРЖДЕН</w:t>
      </w: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постановлением</w:t>
      </w: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Исполнительного комитета</w:t>
      </w: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 Бавлинского муниципального района </w:t>
      </w:r>
    </w:p>
    <w:p w:rsidR="000B7899" w:rsidRPr="000B7899" w:rsidRDefault="000B7899" w:rsidP="000B7899">
      <w:pPr>
        <w:ind w:left="5670" w:right="-1"/>
        <w:jc w:val="right"/>
        <w:rPr>
          <w:rFonts w:ascii="Arial" w:hAnsi="Arial"/>
          <w:sz w:val="24"/>
          <w:szCs w:val="24"/>
        </w:rPr>
      </w:pP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от </w:t>
      </w:r>
    </w:p>
    <w:p w:rsidR="000B7899" w:rsidRPr="000B7899" w:rsidRDefault="000B7899" w:rsidP="000B7899">
      <w:pPr>
        <w:ind w:firstLine="567"/>
        <w:jc w:val="both"/>
        <w:rPr>
          <w:rFonts w:ascii="Arial" w:eastAsia="SimSun" w:hAnsi="Ari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ind w:firstLine="567"/>
        <w:jc w:val="both"/>
        <w:rPr>
          <w:rFonts w:ascii="Arial" w:eastAsia="SimSun" w:hAnsi="Ari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jc w:val="center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Регламент</w:t>
      </w:r>
    </w:p>
    <w:p w:rsidR="000B7899" w:rsidRPr="000B7899" w:rsidRDefault="000B7899" w:rsidP="000B7899">
      <w:pPr>
        <w:jc w:val="center"/>
        <w:rPr>
          <w:rFonts w:ascii="Arial" w:hAnsi="Arial"/>
          <w:sz w:val="24"/>
          <w:szCs w:val="24"/>
        </w:rPr>
      </w:pP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сбора и мониторинга данных, необходимых для расчета </w:t>
      </w:r>
    </w:p>
    <w:p w:rsidR="000B7899" w:rsidRPr="000B7899" w:rsidRDefault="000B7899" w:rsidP="000B7899">
      <w:pPr>
        <w:jc w:val="center"/>
        <w:rPr>
          <w:rFonts w:ascii="Arial" w:hAnsi="Arial"/>
          <w:sz w:val="24"/>
          <w:szCs w:val="24"/>
        </w:rPr>
      </w:pP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показателя «Количество семей, улучшивших жилищные условия» </w:t>
      </w:r>
    </w:p>
    <w:p w:rsidR="000B7899" w:rsidRPr="000B7899" w:rsidRDefault="000B7899" w:rsidP="000B7899">
      <w:pPr>
        <w:jc w:val="center"/>
        <w:rPr>
          <w:rFonts w:ascii="Arial" w:hAnsi="Arial"/>
          <w:sz w:val="24"/>
          <w:szCs w:val="24"/>
        </w:rPr>
      </w:pP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за отчетный период, декомпозированного на муниципальный уровень, </w:t>
      </w:r>
    </w:p>
    <w:p w:rsidR="000B7899" w:rsidRPr="000B7899" w:rsidRDefault="000B7899" w:rsidP="000B7899">
      <w:pPr>
        <w:jc w:val="center"/>
        <w:rPr>
          <w:rFonts w:ascii="Arial" w:hAnsi="Arial"/>
          <w:sz w:val="24"/>
          <w:szCs w:val="24"/>
        </w:rPr>
      </w:pP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по </w:t>
      </w:r>
      <w:proofErr w:type="spellStart"/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Бавлинскому</w:t>
      </w:r>
      <w:proofErr w:type="spellEnd"/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 муниципальному району Республики Татарстан</w:t>
      </w:r>
    </w:p>
    <w:p w:rsidR="000B7899" w:rsidRPr="000B7899" w:rsidRDefault="000B7899" w:rsidP="000B7899">
      <w:pPr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jc w:val="center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1. Общие положения</w:t>
      </w:r>
    </w:p>
    <w:p w:rsidR="000B7899" w:rsidRPr="000B7899" w:rsidRDefault="000B7899" w:rsidP="000B7899">
      <w:pPr>
        <w:jc w:val="center"/>
        <w:rPr>
          <w:rFonts w:ascii="Arial" w:hAnsi="Arial"/>
          <w:b/>
          <w:sz w:val="24"/>
          <w:szCs w:val="24"/>
        </w:rPr>
      </w:pP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Настоящий регламент сбора и мониторинга данных, необходимых для расчета показателя «Количество семей, улучшивших жилищные условия» за отчетный период, декомпозированного на муниципальный уровень (далее – Показатель), по </w:t>
      </w:r>
      <w:proofErr w:type="spellStart"/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Бавлинскому</w:t>
      </w:r>
      <w:proofErr w:type="spellEnd"/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 муниципальному району Республики Татарстан,</w:t>
      </w:r>
      <w:r w:rsidRPr="000B7899">
        <w:rPr>
          <w:rFonts w:ascii="Arial" w:hAnsi="Arial"/>
          <w:sz w:val="24"/>
          <w:szCs w:val="24"/>
        </w:rPr>
        <w:t xml:space="preserve"> (далее – Регламент) разработан в соответствии с Указом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Постановлением Правительства Российской Федерации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№915», постановлением Кабинета Министров Республики Татарстан от 18.04.2022 №361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показателя </w:t>
      </w: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«Количество семей, улучшивших жилищные условия» за отчетный период</w:t>
      </w:r>
      <w:r w:rsidRPr="000B7899">
        <w:rPr>
          <w:rFonts w:ascii="Arial" w:hAnsi="Arial"/>
          <w:b/>
          <w:sz w:val="24"/>
          <w:szCs w:val="24"/>
        </w:rPr>
        <w:t xml:space="preserve"> </w:t>
      </w:r>
      <w:r w:rsidRPr="000B7899">
        <w:rPr>
          <w:rFonts w:ascii="Arial" w:hAnsi="Arial"/>
          <w:sz w:val="24"/>
          <w:szCs w:val="24"/>
        </w:rPr>
        <w:t>(далее – Показатель).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Центром ответственности за сбор, мониторинг и предоставление данных для расчета Показателя в Бавлинском муниципальном районе является отдел инфраструктурного развития Исполнительного комитета</w:t>
      </w:r>
      <w:r w:rsidRPr="000B7899">
        <w:rPr>
          <w:rFonts w:ascii="Arial" w:hAnsi="Arial"/>
          <w:i/>
          <w:sz w:val="24"/>
          <w:szCs w:val="24"/>
        </w:rPr>
        <w:t xml:space="preserve"> </w:t>
      </w:r>
      <w:r w:rsidRPr="000B7899">
        <w:rPr>
          <w:rFonts w:ascii="Arial" w:hAnsi="Arial"/>
          <w:sz w:val="24"/>
          <w:szCs w:val="24"/>
        </w:rPr>
        <w:t>Бавлинского</w:t>
      </w:r>
      <w:r w:rsidRPr="000B7899">
        <w:rPr>
          <w:rFonts w:ascii="Arial" w:hAnsi="Arial"/>
          <w:i/>
          <w:sz w:val="24"/>
          <w:szCs w:val="24"/>
        </w:rPr>
        <w:t xml:space="preserve"> </w:t>
      </w:r>
      <w:r w:rsidRPr="000B7899">
        <w:rPr>
          <w:rFonts w:ascii="Arial" w:hAnsi="Arial"/>
          <w:sz w:val="24"/>
          <w:szCs w:val="24"/>
        </w:rPr>
        <w:t>муниципального района (далее – Центр ответственности).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Агрегированная информация по муниципальному району формируется на основе информации входящих в него поселений и передается Центром ответственности в Министерство строительства, архитектуры и жилищно-коммунального хозяйства Республики Татарстан (далее – Министерство) для формирования сводной информации по Республике Татарстан в утвержденном Регламентом порядке.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b/>
          <w:sz w:val="24"/>
          <w:szCs w:val="24"/>
        </w:rPr>
      </w:pPr>
    </w:p>
    <w:p w:rsidR="000B7899" w:rsidRPr="000B7899" w:rsidRDefault="000B7899" w:rsidP="000B7899">
      <w:pPr>
        <w:jc w:val="center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2. </w:t>
      </w: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Понятийный аппарат</w:t>
      </w:r>
    </w:p>
    <w:p w:rsidR="000B7899" w:rsidRPr="000B7899" w:rsidRDefault="000B7899" w:rsidP="000B7899">
      <w:pPr>
        <w:jc w:val="center"/>
        <w:rPr>
          <w:rFonts w:ascii="Arial" w:eastAsia="SimSun" w:hAnsi="Arial"/>
          <w:b/>
          <w:bCs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rPr>
          <w:rFonts w:ascii="Arial" w:eastAsia="SimSun" w:hAnsi="Arial"/>
          <w:b/>
          <w:bCs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/>
          <w:b/>
          <w:bCs/>
          <w:kern w:val="2"/>
          <w:sz w:val="24"/>
          <w:szCs w:val="24"/>
          <w:lang w:eastAsia="zh-CN" w:bidi="hi-IN"/>
        </w:rPr>
        <w:tab/>
      </w: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В регламенте используются следующие термины и их определения: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 xml:space="preserve">семья – это круг лиц, которые связаны между собой совместным бытом, взаимной моральной ответственностью и социальной необходимостью, неимущественными и </w:t>
      </w: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lastRenderedPageBreak/>
        <w:t>имущественными правами и обязанностями, проживающих в зарегистрированных в органах записи актов гражданского состояния отношениях, а также в незарегистрированных отношениях. Семья может состоять из одного человека (вырожденный случай семьи);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 xml:space="preserve">члены семьи – члены семьи собственника жилого помещения – супруг, дети, родители собственника, проживающие совместно с собственником в принадлежащем ему жилом помещении. Другие родственники, нетрудоспособные иждивенцы и в исключительных случаях иные граждане могут быть </w:t>
      </w:r>
      <w:hyperlink r:id="rId8">
        <w:r w:rsidRPr="000B7899">
          <w:rPr>
            <w:rFonts w:ascii="Arial" w:eastAsia="SimSun" w:hAnsi="Arial" w:cs="Mangal"/>
            <w:kern w:val="2"/>
            <w:sz w:val="24"/>
            <w:szCs w:val="24"/>
            <w:lang w:eastAsia="zh-CN" w:bidi="hi-IN"/>
          </w:rPr>
          <w:t>признаны</w:t>
        </w:r>
      </w:hyperlink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 xml:space="preserve"> членами семьи собственника, если они вселены собственником в качестве членов своей семьи;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>выбытие членов семьи – выбытие отдельных членов семьи и бывших членов семьи, ранее проживавших в одном жилом помещении, и снятие их с регистрационного учета по месту жительства;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поставщики информации – организации, осуществляющие строительный контроль за проведением капитального ремонта общего имущества в многоквартирных домах на территории муниципального образования; управляющие организации; товарищества собственников жилья; жилищно-строительные кооперативы; </w:t>
      </w:r>
      <w:proofErr w:type="spellStart"/>
      <w:r w:rsidRPr="000B7899">
        <w:rPr>
          <w:rFonts w:ascii="Arial" w:hAnsi="Arial"/>
          <w:sz w:val="24"/>
          <w:szCs w:val="24"/>
        </w:rPr>
        <w:t>ресурсоснабжающие</w:t>
      </w:r>
      <w:proofErr w:type="spellEnd"/>
      <w:r w:rsidRPr="000B7899">
        <w:rPr>
          <w:rFonts w:ascii="Arial" w:hAnsi="Arial"/>
          <w:sz w:val="24"/>
          <w:szCs w:val="24"/>
        </w:rPr>
        <w:t xml:space="preserve"> организации (в случае прямых договоров); органы ЗАГС;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proofErr w:type="spellStart"/>
      <w:r w:rsidRPr="000B7899">
        <w:rPr>
          <w:rFonts w:ascii="Arial" w:hAnsi="Arial"/>
          <w:sz w:val="24"/>
          <w:szCs w:val="24"/>
        </w:rPr>
        <w:t>подпоказатели</w:t>
      </w:r>
      <w:proofErr w:type="spellEnd"/>
      <w:r w:rsidRPr="000B7899">
        <w:rPr>
          <w:rFonts w:ascii="Arial" w:hAnsi="Arial"/>
          <w:sz w:val="24"/>
          <w:szCs w:val="24"/>
        </w:rPr>
        <w:t xml:space="preserve"> – </w:t>
      </w: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декомпозированные показатели</w:t>
      </w:r>
      <w:r w:rsidRPr="000B7899">
        <w:rPr>
          <w:rFonts w:ascii="Arial" w:hAnsi="Arial"/>
          <w:sz w:val="24"/>
          <w:szCs w:val="24"/>
        </w:rPr>
        <w:t>, используемые для расчета Показателя в соответствии с Методикой расчета, утвержденной Постановлением Правительства Российской Федерации от 03.04.2021 №542.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jc w:val="center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3. Состав и сроки предоставления данных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Сбор и предоставление данных в адрес Министерства осуществляется ежеквартально до 15 числа месяца, следующего после отчетного периода, в следующем составе:</w:t>
      </w:r>
    </w:p>
    <w:p w:rsidR="000B7899" w:rsidRPr="000B7899" w:rsidRDefault="000B7899" w:rsidP="000B7899">
      <w:pPr>
        <w:ind w:firstLine="709"/>
        <w:rPr>
          <w:rFonts w:ascii="Arial" w:hAnsi="Arial"/>
          <w:kern w:val="2"/>
          <w:sz w:val="24"/>
          <w:szCs w:val="24"/>
          <w:lang w:bidi="hi-IN"/>
        </w:rPr>
      </w:pPr>
    </w:p>
    <w:tbl>
      <w:tblPr>
        <w:tblStyle w:val="25"/>
        <w:tblW w:w="10007" w:type="dxa"/>
        <w:tblInd w:w="-377" w:type="dxa"/>
        <w:tblLayout w:type="fixed"/>
        <w:tblLook w:val="04A0" w:firstRow="1" w:lastRow="0" w:firstColumn="1" w:lastColumn="0" w:noHBand="0" w:noVBand="1"/>
      </w:tblPr>
      <w:tblGrid>
        <w:gridCol w:w="541"/>
        <w:gridCol w:w="8470"/>
        <w:gridCol w:w="996"/>
      </w:tblGrid>
      <w:tr w:rsidR="000B7899" w:rsidRPr="000B7899" w:rsidTr="00E70DF5">
        <w:trPr>
          <w:tblHeader/>
        </w:trPr>
        <w:tc>
          <w:tcPr>
            <w:tcW w:w="541" w:type="dxa"/>
            <w:tcBorders>
              <w:bottom w:val="nil"/>
            </w:tcBorders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 xml:space="preserve">№ </w:t>
            </w:r>
          </w:p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8470" w:type="dxa"/>
            <w:tcBorders>
              <w:bottom w:val="nil"/>
            </w:tcBorders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6" w:type="dxa"/>
            <w:tcBorders>
              <w:bottom w:val="nil"/>
            </w:tcBorders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Ед. изм.</w:t>
            </w:r>
          </w:p>
        </w:tc>
      </w:tr>
    </w:tbl>
    <w:p w:rsidR="000B7899" w:rsidRPr="000B7899" w:rsidRDefault="000B7899" w:rsidP="000B7899">
      <w:pPr>
        <w:ind w:firstLine="709"/>
        <w:rPr>
          <w:rFonts w:ascii="Arial" w:eastAsia="SimSun" w:hAnsi="Arial"/>
          <w:b/>
          <w:kern w:val="2"/>
          <w:sz w:val="24"/>
          <w:szCs w:val="24"/>
          <w:lang w:eastAsia="zh-CN" w:bidi="hi-IN"/>
        </w:rPr>
      </w:pPr>
    </w:p>
    <w:tbl>
      <w:tblPr>
        <w:tblStyle w:val="25"/>
        <w:tblW w:w="10011" w:type="dxa"/>
        <w:tblInd w:w="-377" w:type="dxa"/>
        <w:tblLayout w:type="fixed"/>
        <w:tblLook w:val="04A0" w:firstRow="1" w:lastRow="0" w:firstColumn="1" w:lastColumn="0" w:noHBand="0" w:noVBand="1"/>
      </w:tblPr>
      <w:tblGrid>
        <w:gridCol w:w="530"/>
        <w:gridCol w:w="8488"/>
        <w:gridCol w:w="993"/>
      </w:tblGrid>
      <w:tr w:rsidR="000B7899" w:rsidRPr="000B7899" w:rsidTr="00E70DF5">
        <w:trPr>
          <w:tblHeader/>
        </w:trPr>
        <w:tc>
          <w:tcPr>
            <w:tcW w:w="530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8488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0B7899" w:rsidRPr="000B7899" w:rsidTr="00E70DF5">
        <w:tc>
          <w:tcPr>
            <w:tcW w:w="530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8488" w:type="dxa"/>
          </w:tcPr>
          <w:p w:rsidR="000B7899" w:rsidRPr="000B7899" w:rsidRDefault="000B7899" w:rsidP="00E70DF5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Количество семей, получивших жилое помещение по договорам социального найма</w:t>
            </w:r>
          </w:p>
        </w:tc>
        <w:tc>
          <w:tcPr>
            <w:tcW w:w="993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единиц</w:t>
            </w:r>
          </w:p>
        </w:tc>
      </w:tr>
      <w:tr w:rsidR="000B7899" w:rsidRPr="000B7899" w:rsidTr="00E70DF5">
        <w:tc>
          <w:tcPr>
            <w:tcW w:w="530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8488" w:type="dxa"/>
          </w:tcPr>
          <w:p w:rsidR="000B7899" w:rsidRPr="000B7899" w:rsidRDefault="000B7899" w:rsidP="00E70DF5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Количество семей, переселенных из аварийного жилого фонда</w:t>
            </w:r>
          </w:p>
        </w:tc>
        <w:tc>
          <w:tcPr>
            <w:tcW w:w="993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единиц</w:t>
            </w:r>
          </w:p>
        </w:tc>
      </w:tr>
      <w:tr w:rsidR="000B7899" w:rsidRPr="000B7899" w:rsidTr="00E70DF5">
        <w:tc>
          <w:tcPr>
            <w:tcW w:w="530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8488" w:type="dxa"/>
          </w:tcPr>
          <w:p w:rsidR="000B7899" w:rsidRPr="000B7899" w:rsidRDefault="000B7899" w:rsidP="00E70DF5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 </w:t>
            </w:r>
          </w:p>
        </w:tc>
        <w:tc>
          <w:tcPr>
            <w:tcW w:w="993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единиц</w:t>
            </w:r>
          </w:p>
        </w:tc>
      </w:tr>
      <w:tr w:rsidR="000B7899" w:rsidRPr="000B7899" w:rsidTr="00E70DF5">
        <w:tc>
          <w:tcPr>
            <w:tcW w:w="530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8488" w:type="dxa"/>
          </w:tcPr>
          <w:p w:rsidR="000B7899" w:rsidRPr="000B7899" w:rsidRDefault="000B7899" w:rsidP="00E70DF5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Количество семей, улучшивших жилищные условия в рамках муниципальных программ</w:t>
            </w:r>
          </w:p>
        </w:tc>
        <w:tc>
          <w:tcPr>
            <w:tcW w:w="993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единиц</w:t>
            </w:r>
          </w:p>
        </w:tc>
      </w:tr>
      <w:tr w:rsidR="000B7899" w:rsidRPr="000B7899" w:rsidTr="00E70DF5">
        <w:tc>
          <w:tcPr>
            <w:tcW w:w="530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8488" w:type="dxa"/>
          </w:tcPr>
          <w:p w:rsidR="000B7899" w:rsidRPr="000B7899" w:rsidRDefault="000B7899" w:rsidP="00E70DF5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Количество семей, улучшивших жилищные условия за счет выбытия отдельных членов семьи, ранее проживавших в одном жилом помещении</w:t>
            </w:r>
          </w:p>
        </w:tc>
        <w:tc>
          <w:tcPr>
            <w:tcW w:w="993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единиц</w:t>
            </w:r>
          </w:p>
        </w:tc>
      </w:tr>
      <w:tr w:rsidR="000B7899" w:rsidRPr="000B7899" w:rsidTr="00E70DF5">
        <w:tc>
          <w:tcPr>
            <w:tcW w:w="530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8488" w:type="dxa"/>
          </w:tcPr>
          <w:p w:rsidR="000B7899" w:rsidRPr="000B7899" w:rsidRDefault="000B7899" w:rsidP="00E70DF5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 xml:space="preserve">Количество семей, улучшивших жилищные условия за счет получения жилых помещений по договорам найма специализированного жилищного фонда (дети-сироты и дети, оставшиеся без попечения родителей, и лица из числа детей-сирот, и детей, оставшихся без попечения родителей) </w:t>
            </w:r>
          </w:p>
        </w:tc>
        <w:tc>
          <w:tcPr>
            <w:tcW w:w="993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единиц</w:t>
            </w:r>
          </w:p>
        </w:tc>
      </w:tr>
      <w:tr w:rsidR="000B7899" w:rsidRPr="000B7899" w:rsidTr="00E70DF5">
        <w:tc>
          <w:tcPr>
            <w:tcW w:w="530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7.</w:t>
            </w:r>
          </w:p>
        </w:tc>
        <w:tc>
          <w:tcPr>
            <w:tcW w:w="8488" w:type="dxa"/>
          </w:tcPr>
          <w:p w:rsidR="000B7899" w:rsidRPr="000B7899" w:rsidRDefault="000B7899" w:rsidP="00E70DF5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 xml:space="preserve">Количество семей, улучшивших жилищные условия за счет получения жилых помещений по договорам найма специализированного жилого помещения (служебное жилье) </w:t>
            </w:r>
          </w:p>
        </w:tc>
        <w:tc>
          <w:tcPr>
            <w:tcW w:w="993" w:type="dxa"/>
          </w:tcPr>
          <w:p w:rsidR="000B7899" w:rsidRPr="000B7899" w:rsidRDefault="000B7899" w:rsidP="00E70DF5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hAnsi="Arial"/>
                <w:sz w:val="24"/>
                <w:szCs w:val="24"/>
              </w:rPr>
              <w:t>единиц</w:t>
            </w:r>
          </w:p>
        </w:tc>
      </w:tr>
    </w:tbl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ind w:firstLine="709"/>
        <w:jc w:val="center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4. Порядок сбора и формы предоставления информации</w:t>
      </w:r>
    </w:p>
    <w:p w:rsidR="000B7899" w:rsidRPr="000B7899" w:rsidRDefault="000B7899" w:rsidP="000B7899">
      <w:pPr>
        <w:ind w:firstLine="709"/>
        <w:jc w:val="center"/>
        <w:rPr>
          <w:rFonts w:ascii="Arial" w:hAnsi="Arial"/>
          <w:b/>
          <w:sz w:val="24"/>
          <w:szCs w:val="24"/>
        </w:rPr>
      </w:pPr>
    </w:p>
    <w:p w:rsidR="000B7899" w:rsidRPr="000B7899" w:rsidRDefault="000B7899" w:rsidP="000B7899">
      <w:pPr>
        <w:widowControl w:val="0"/>
        <w:ind w:firstLine="53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lastRenderedPageBreak/>
        <w:t xml:space="preserve">Для расчета Показателя в Регламенте используются следующие </w:t>
      </w:r>
      <w:proofErr w:type="spellStart"/>
      <w:r w:rsidRPr="000B7899">
        <w:rPr>
          <w:rFonts w:ascii="Arial" w:hAnsi="Arial"/>
          <w:sz w:val="24"/>
          <w:szCs w:val="24"/>
        </w:rPr>
        <w:t>подпоказатели</w:t>
      </w:r>
      <w:proofErr w:type="spellEnd"/>
      <w:r w:rsidRPr="000B7899">
        <w:rPr>
          <w:rFonts w:ascii="Arial" w:hAnsi="Arial"/>
          <w:sz w:val="24"/>
          <w:szCs w:val="24"/>
        </w:rPr>
        <w:t>, декомпозированные на уровень муниципального образования: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b/>
          <w:sz w:val="24"/>
          <w:szCs w:val="24"/>
        </w:rPr>
      </w:pP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4.1. </w:t>
      </w:r>
      <w:r w:rsidRPr="000B7899">
        <w:rPr>
          <w:rFonts w:ascii="Arial" w:hAnsi="Arial"/>
          <w:kern w:val="2"/>
          <w:sz w:val="24"/>
          <w:szCs w:val="24"/>
          <w:lang w:bidi="hi-IN"/>
        </w:rPr>
        <w:t>К</w:t>
      </w: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оличество семей, получивших жилое помещение по договорам социального найма.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Ответственный сотрудник отдела инфраструктурного развития Исполнительного комитета Бавлинского муниципального района осуществляет сбор данных от поставщиков информации за отчетный период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>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Сводная информация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 xml:space="preserve"> по </w:t>
      </w:r>
      <w:proofErr w:type="spellStart"/>
      <w:r w:rsidRPr="000B7899">
        <w:rPr>
          <w:rFonts w:ascii="Arial" w:hAnsi="Arial"/>
          <w:sz w:val="24"/>
          <w:szCs w:val="24"/>
        </w:rPr>
        <w:t>Бавлинскому</w:t>
      </w:r>
      <w:proofErr w:type="spellEnd"/>
      <w:r w:rsidRPr="000B7899">
        <w:rPr>
          <w:rFonts w:ascii="Arial" w:hAnsi="Arial"/>
          <w:sz w:val="24"/>
          <w:szCs w:val="24"/>
        </w:rPr>
        <w:t xml:space="preserve"> муниципальному району предоставляется в Центр ответственности.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4.2. Количество семей, переселенных из аварийного жилого фонда.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Ответственный сотрудник отдела инфраструктурного развития Исполнительного комитета Бавлинского муниципального района осуществляет сбор данных от поставщиков информации за отчетный период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>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Сводная информация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 xml:space="preserve"> по </w:t>
      </w:r>
      <w:proofErr w:type="spellStart"/>
      <w:r w:rsidRPr="000B7899">
        <w:rPr>
          <w:rFonts w:ascii="Arial" w:hAnsi="Arial"/>
          <w:sz w:val="24"/>
          <w:szCs w:val="24"/>
        </w:rPr>
        <w:t>Бавлинскому</w:t>
      </w:r>
      <w:proofErr w:type="spellEnd"/>
      <w:r w:rsidRPr="000B7899">
        <w:rPr>
          <w:rFonts w:ascii="Arial" w:hAnsi="Arial"/>
          <w:sz w:val="24"/>
          <w:szCs w:val="24"/>
        </w:rPr>
        <w:t xml:space="preserve"> муниципальному району предоставляется в Центр ответственности.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4.3. Количество семей, улучшивших жилищные условия за счет проведения капитального ремонта общего имущества в многоквартирных домах.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Ответственный сотрудник отдела инфраструктурного развития Исполнительного комитета Бавлинского муниципального района осуществляет сбор данных от поставщиков информации за отчетный период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>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Сводная информация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 xml:space="preserve"> по </w:t>
      </w:r>
      <w:proofErr w:type="spellStart"/>
      <w:r w:rsidRPr="000B7899">
        <w:rPr>
          <w:rFonts w:ascii="Arial" w:hAnsi="Arial"/>
          <w:sz w:val="24"/>
          <w:szCs w:val="24"/>
        </w:rPr>
        <w:t>Бавлинскому</w:t>
      </w:r>
      <w:proofErr w:type="spellEnd"/>
      <w:r w:rsidRPr="000B7899">
        <w:rPr>
          <w:rFonts w:ascii="Arial" w:hAnsi="Arial"/>
          <w:sz w:val="24"/>
          <w:szCs w:val="24"/>
        </w:rPr>
        <w:t xml:space="preserve"> муниципальному району предоставляется в Центр ответственности.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4.4. Количество семей, улучшивших жилищные условия в рамках муниципальных программ.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Ответственный сотрудник отдела инфраструктурного развития Исполнительного комитета Бавлинского муниципального района осуществляет сбор данных от поставщиков информации за отчетный период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>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Сводная информация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 xml:space="preserve"> по </w:t>
      </w:r>
      <w:proofErr w:type="spellStart"/>
      <w:r w:rsidRPr="000B7899">
        <w:rPr>
          <w:rFonts w:ascii="Arial" w:hAnsi="Arial"/>
          <w:sz w:val="24"/>
          <w:szCs w:val="24"/>
        </w:rPr>
        <w:t>Бавлинскому</w:t>
      </w:r>
      <w:proofErr w:type="spellEnd"/>
      <w:r w:rsidRPr="000B7899">
        <w:rPr>
          <w:rFonts w:ascii="Arial" w:hAnsi="Arial"/>
          <w:sz w:val="24"/>
          <w:szCs w:val="24"/>
        </w:rPr>
        <w:t xml:space="preserve"> муниципальному району предоставляется в Центр ответственности.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4.5. Количество семей, улучшивших жилищные условия за счет выбытия отдельных членов семьи, ранее проживавших в одном жилом помещении.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Ответственный сотрудник отдела инфраструктурного </w:t>
      </w:r>
      <w:proofErr w:type="gramStart"/>
      <w:r w:rsidRPr="000B7899">
        <w:rPr>
          <w:rFonts w:ascii="Arial" w:hAnsi="Arial"/>
          <w:sz w:val="24"/>
          <w:szCs w:val="24"/>
        </w:rPr>
        <w:t>развития  Исполнительного</w:t>
      </w:r>
      <w:proofErr w:type="gramEnd"/>
      <w:r w:rsidRPr="000B7899">
        <w:rPr>
          <w:rFonts w:ascii="Arial" w:hAnsi="Arial"/>
          <w:sz w:val="24"/>
          <w:szCs w:val="24"/>
        </w:rPr>
        <w:t xml:space="preserve"> комитета Бавлинского муниципального района осуществляет сбор данных от поставщиков информации за отчетный период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>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Сводная информация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 xml:space="preserve"> по </w:t>
      </w:r>
      <w:proofErr w:type="spellStart"/>
      <w:r w:rsidRPr="000B7899">
        <w:rPr>
          <w:rFonts w:ascii="Arial" w:hAnsi="Arial"/>
          <w:sz w:val="24"/>
          <w:szCs w:val="24"/>
        </w:rPr>
        <w:t>Бавлинскому</w:t>
      </w:r>
      <w:proofErr w:type="spellEnd"/>
      <w:r w:rsidRPr="000B7899">
        <w:rPr>
          <w:rFonts w:ascii="Arial" w:hAnsi="Arial"/>
          <w:sz w:val="24"/>
          <w:szCs w:val="24"/>
        </w:rPr>
        <w:t xml:space="preserve"> муниципальному району предоставляется в Центр ответственности.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4.6. Количество семей, улучшивших жилищные условия за счет получения жилых помещений по договорам найма специализированного жилищного фонда (дети-сироты и дети, оставшиеся без попечения родителей, и лица из числа детей-сирот, и детей, оставшихся без попечения родителей).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Ответственный сотрудник отдела опеки и попечительства Исполнительного комитета Бавлинского муниципального района осуществляет сбор данных от поставщиков информации за отчетный период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>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Сводная информация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 xml:space="preserve"> по </w:t>
      </w:r>
      <w:proofErr w:type="spellStart"/>
      <w:r w:rsidRPr="000B7899">
        <w:rPr>
          <w:rFonts w:ascii="Arial" w:hAnsi="Arial"/>
          <w:sz w:val="24"/>
          <w:szCs w:val="24"/>
        </w:rPr>
        <w:t>Бавлинскому</w:t>
      </w:r>
      <w:proofErr w:type="spellEnd"/>
      <w:r w:rsidRPr="000B7899">
        <w:rPr>
          <w:rFonts w:ascii="Arial" w:hAnsi="Arial"/>
          <w:sz w:val="24"/>
          <w:szCs w:val="24"/>
        </w:rPr>
        <w:t xml:space="preserve"> муниципальному району предоставляется в Центр ответственности.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>4.7. Количество семей, улучшивших жилищные условия за счет получения жилых помещений по договорам найма специализированного жилого помещения (служебное жилье).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Ответственный сотрудник </w:t>
      </w:r>
      <w:proofErr w:type="spellStart"/>
      <w:r w:rsidRPr="000B7899">
        <w:rPr>
          <w:rFonts w:ascii="Arial" w:hAnsi="Arial"/>
          <w:sz w:val="24"/>
          <w:szCs w:val="24"/>
        </w:rPr>
        <w:t>МКУ</w:t>
      </w:r>
      <w:proofErr w:type="spellEnd"/>
      <w:r w:rsidRPr="000B7899">
        <w:rPr>
          <w:rFonts w:ascii="Arial" w:hAnsi="Arial"/>
          <w:sz w:val="24"/>
          <w:szCs w:val="24"/>
        </w:rPr>
        <w:t xml:space="preserve"> «Палата имущественных и земельных отношений Бавлинского муниципального района Республики Татарстан» осуществляет сбор данных от поставщиков информации за отчетный период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>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lastRenderedPageBreak/>
        <w:t xml:space="preserve">Сводная информация по вышеуказанному </w:t>
      </w:r>
      <w:proofErr w:type="spellStart"/>
      <w:r w:rsidRPr="000B7899">
        <w:rPr>
          <w:rFonts w:ascii="Arial" w:hAnsi="Arial"/>
          <w:sz w:val="24"/>
          <w:szCs w:val="24"/>
        </w:rPr>
        <w:t>подпоказателю</w:t>
      </w:r>
      <w:proofErr w:type="spellEnd"/>
      <w:r w:rsidRPr="000B7899">
        <w:rPr>
          <w:rFonts w:ascii="Arial" w:hAnsi="Arial"/>
          <w:sz w:val="24"/>
          <w:szCs w:val="24"/>
        </w:rPr>
        <w:t xml:space="preserve"> по </w:t>
      </w:r>
      <w:proofErr w:type="spellStart"/>
      <w:r w:rsidRPr="000B7899">
        <w:rPr>
          <w:rFonts w:ascii="Arial" w:hAnsi="Arial"/>
          <w:sz w:val="24"/>
          <w:szCs w:val="24"/>
        </w:rPr>
        <w:t>Бавлинскому</w:t>
      </w:r>
      <w:proofErr w:type="spellEnd"/>
      <w:r w:rsidRPr="000B7899">
        <w:rPr>
          <w:rFonts w:ascii="Arial" w:hAnsi="Arial"/>
          <w:sz w:val="24"/>
          <w:szCs w:val="24"/>
        </w:rPr>
        <w:t xml:space="preserve"> муниципальному району предоставляется в Центр ответственности.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 xml:space="preserve">Форма представления данных для расчета </w:t>
      </w:r>
      <w:r w:rsidRPr="000B7899">
        <w:rPr>
          <w:rFonts w:ascii="Arial" w:hAnsi="Arial"/>
          <w:sz w:val="24"/>
          <w:szCs w:val="24"/>
        </w:rPr>
        <w:t xml:space="preserve">Показателя поставщиком информации в </w:t>
      </w: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Исполнительный комитет Бавлинского муниципального района</w:t>
      </w:r>
      <w:r w:rsidRPr="000B7899">
        <w:rPr>
          <w:rFonts w:ascii="Arial" w:hAnsi="Arial"/>
          <w:sz w:val="24"/>
          <w:szCs w:val="24"/>
        </w:rPr>
        <w:t xml:space="preserve"> </w:t>
      </w:r>
      <w:r w:rsidRPr="000B7899">
        <w:rPr>
          <w:rFonts w:ascii="Arial" w:eastAsia="SimSun" w:hAnsi="Arial" w:cs="Mangal"/>
          <w:bCs/>
          <w:kern w:val="2"/>
          <w:sz w:val="24"/>
          <w:szCs w:val="24"/>
          <w:lang w:eastAsia="zh-CN" w:bidi="hi-IN"/>
        </w:rPr>
        <w:t xml:space="preserve">представлена в приложении № 1 к </w:t>
      </w:r>
      <w:r w:rsidRPr="000B7899">
        <w:rPr>
          <w:rFonts w:ascii="Arial" w:hAnsi="Arial"/>
          <w:sz w:val="24"/>
          <w:szCs w:val="24"/>
        </w:rPr>
        <w:t xml:space="preserve">Регламенту. 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  <w:r w:rsidRPr="000B7899">
        <w:rPr>
          <w:rFonts w:ascii="Arial" w:hAnsi="Arial"/>
          <w:sz w:val="24"/>
          <w:szCs w:val="24"/>
        </w:rPr>
        <w:t xml:space="preserve">Форма предоставления </w:t>
      </w: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 xml:space="preserve">данных для расчета </w:t>
      </w:r>
      <w:r w:rsidRPr="000B7899">
        <w:rPr>
          <w:rFonts w:ascii="Arial" w:hAnsi="Arial"/>
          <w:sz w:val="24"/>
          <w:szCs w:val="24"/>
        </w:rPr>
        <w:t xml:space="preserve">Показателя </w:t>
      </w: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 xml:space="preserve">Исполнительным комитетом Бавлинского муниципального района </w:t>
      </w:r>
      <w:r w:rsidRPr="000B7899">
        <w:rPr>
          <w:rFonts w:ascii="Arial" w:hAnsi="Arial"/>
          <w:sz w:val="24"/>
          <w:szCs w:val="24"/>
        </w:rPr>
        <w:t xml:space="preserve">в Министерство </w:t>
      </w:r>
      <w:r w:rsidRPr="000B7899">
        <w:rPr>
          <w:rFonts w:ascii="Arial" w:eastAsia="SimSun" w:hAnsi="Arial" w:cs="Mangal"/>
          <w:bCs/>
          <w:kern w:val="2"/>
          <w:sz w:val="24"/>
          <w:szCs w:val="24"/>
          <w:lang w:eastAsia="zh-CN" w:bidi="hi-IN"/>
        </w:rPr>
        <w:t xml:space="preserve">представлена в приложении № 2 к </w:t>
      </w:r>
      <w:r w:rsidRPr="000B7899">
        <w:rPr>
          <w:rFonts w:ascii="Arial" w:hAnsi="Arial"/>
          <w:sz w:val="24"/>
          <w:szCs w:val="24"/>
        </w:rPr>
        <w:t xml:space="preserve">Регламенту. 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kern w:val="2"/>
          <w:sz w:val="24"/>
          <w:szCs w:val="24"/>
          <w:lang w:bidi="hi-IN"/>
        </w:rPr>
      </w:pPr>
      <w:r w:rsidRPr="000B7899">
        <w:rPr>
          <w:rFonts w:ascii="Arial" w:hAnsi="Arial"/>
          <w:kern w:val="2"/>
          <w:sz w:val="24"/>
          <w:szCs w:val="24"/>
          <w:lang w:bidi="hi-IN"/>
        </w:rPr>
        <w:t xml:space="preserve">Центр ответственности обеспечивает сбор информации </w:t>
      </w:r>
      <w:r w:rsidRPr="000B7899">
        <w:rPr>
          <w:rFonts w:ascii="Arial" w:hAnsi="Arial"/>
          <w:sz w:val="24"/>
          <w:szCs w:val="24"/>
        </w:rPr>
        <w:t xml:space="preserve">и направляет </w:t>
      </w:r>
      <w:r w:rsidRPr="000B7899">
        <w:rPr>
          <w:rFonts w:ascii="Arial" w:hAnsi="Arial"/>
          <w:kern w:val="2"/>
          <w:sz w:val="24"/>
          <w:szCs w:val="24"/>
          <w:lang w:bidi="hi-IN"/>
        </w:rPr>
        <w:t xml:space="preserve">сводную информацию по всем </w:t>
      </w:r>
      <w:proofErr w:type="spellStart"/>
      <w:r w:rsidRPr="000B7899">
        <w:rPr>
          <w:rFonts w:ascii="Arial" w:hAnsi="Arial"/>
          <w:kern w:val="2"/>
          <w:sz w:val="24"/>
          <w:szCs w:val="24"/>
          <w:lang w:bidi="hi-IN"/>
        </w:rPr>
        <w:t>подпоказателям</w:t>
      </w:r>
      <w:proofErr w:type="spellEnd"/>
      <w:r w:rsidRPr="000B7899">
        <w:rPr>
          <w:rFonts w:ascii="Arial" w:hAnsi="Arial"/>
          <w:kern w:val="2"/>
          <w:sz w:val="24"/>
          <w:szCs w:val="24"/>
          <w:lang w:bidi="hi-IN"/>
        </w:rPr>
        <w:t xml:space="preserve"> по </w:t>
      </w:r>
      <w:proofErr w:type="spellStart"/>
      <w:r w:rsidRPr="000B7899">
        <w:rPr>
          <w:rFonts w:ascii="Arial" w:hAnsi="Arial"/>
          <w:kern w:val="2"/>
          <w:sz w:val="24"/>
          <w:szCs w:val="24"/>
          <w:lang w:bidi="hi-IN"/>
        </w:rPr>
        <w:t>Бавлинскому</w:t>
      </w:r>
      <w:proofErr w:type="spellEnd"/>
      <w:r w:rsidRPr="000B7899">
        <w:rPr>
          <w:rFonts w:ascii="Arial" w:hAnsi="Arial"/>
          <w:kern w:val="2"/>
          <w:sz w:val="24"/>
          <w:szCs w:val="24"/>
          <w:lang w:bidi="hi-IN"/>
        </w:rPr>
        <w:t xml:space="preserve"> муниципальному району в адрес Министерства официальным письмом посредством единой межведомственной системе электронного документооборота Республики Татарстан.</w:t>
      </w:r>
    </w:p>
    <w:p w:rsidR="000B7899" w:rsidRPr="000B7899" w:rsidRDefault="000B7899" w:rsidP="000B7899">
      <w:pPr>
        <w:ind w:firstLine="709"/>
        <w:jc w:val="both"/>
        <w:rPr>
          <w:rFonts w:ascii="Arial" w:hAnsi="Arial"/>
          <w:kern w:val="2"/>
          <w:sz w:val="24"/>
          <w:szCs w:val="24"/>
          <w:lang w:bidi="hi-IN"/>
        </w:rPr>
      </w:pPr>
    </w:p>
    <w:p w:rsidR="000B7899" w:rsidRPr="000B7899" w:rsidRDefault="000B7899" w:rsidP="000B7899">
      <w:pPr>
        <w:jc w:val="center"/>
        <w:rPr>
          <w:rFonts w:ascii="Arial" w:hAnsi="Arial"/>
          <w:kern w:val="2"/>
          <w:sz w:val="24"/>
          <w:szCs w:val="24"/>
          <w:lang w:bidi="hi-IN"/>
        </w:rPr>
        <w:sectPr w:rsidR="000B7899" w:rsidRPr="000B7899" w:rsidSect="000B7899">
          <w:headerReference w:type="defaul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60" w:charSpace="8192"/>
        </w:sectPr>
      </w:pPr>
      <w:r w:rsidRPr="000B7899">
        <w:rPr>
          <w:rFonts w:ascii="Arial" w:hAnsi="Arial"/>
          <w:kern w:val="2"/>
          <w:sz w:val="24"/>
          <w:szCs w:val="24"/>
          <w:lang w:bidi="hi-IN"/>
        </w:rPr>
        <w:t>____________________</w:t>
      </w:r>
    </w:p>
    <w:tbl>
      <w:tblPr>
        <w:tblW w:w="5528" w:type="dxa"/>
        <w:tblInd w:w="4678" w:type="dxa"/>
        <w:tblLayout w:type="fixed"/>
        <w:tblLook w:val="04A0" w:firstRow="1" w:lastRow="0" w:firstColumn="1" w:lastColumn="0" w:noHBand="0" w:noVBand="1"/>
      </w:tblPr>
      <w:tblGrid>
        <w:gridCol w:w="5528"/>
      </w:tblGrid>
      <w:tr w:rsidR="000B7899" w:rsidRPr="000B7899" w:rsidTr="00E70DF5">
        <w:tc>
          <w:tcPr>
            <w:tcW w:w="5528" w:type="dxa"/>
            <w:shd w:val="clear" w:color="auto" w:fill="auto"/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jc w:val="right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eastAsia="SimSun" w:hAnsi="Arial"/>
                <w:kern w:val="2"/>
                <w:sz w:val="24"/>
                <w:szCs w:val="24"/>
                <w:lang w:eastAsia="zh-CN" w:bidi="hi-IN"/>
              </w:rPr>
              <w:lastRenderedPageBreak/>
              <w:t>Приложение 1</w:t>
            </w:r>
          </w:p>
          <w:p w:rsidR="000B7899" w:rsidRPr="000B7899" w:rsidRDefault="000B7899" w:rsidP="00E70DF5">
            <w:pPr>
              <w:keepNext/>
              <w:widowControl w:val="0"/>
              <w:shd w:val="clear" w:color="auto" w:fill="FFFFFF"/>
              <w:jc w:val="right"/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</w:pPr>
            <w:r w:rsidRPr="000B7899">
              <w:rPr>
                <w:rFonts w:ascii="Arial" w:eastAsia="SimSun" w:hAnsi="Arial"/>
                <w:kern w:val="2"/>
                <w:sz w:val="24"/>
                <w:szCs w:val="24"/>
                <w:lang w:eastAsia="zh-CN" w:bidi="hi-IN"/>
              </w:rPr>
              <w:t>к Регламенту регламента сбора и мониторинга данных, необходимых для расчета показателя «Количество семей, улучшивших жилищные условия» за отчетный период, декомпозированного на муниципальный уровень</w:t>
            </w:r>
          </w:p>
        </w:tc>
      </w:tr>
    </w:tbl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>Форма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 xml:space="preserve">представления данных для расчета показателя </w:t>
      </w: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«Количество семей, улучшивших жилищные условия» за отчетный период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hAnsi="Arial"/>
          <w:sz w:val="24"/>
          <w:szCs w:val="24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 xml:space="preserve">в </w:t>
      </w:r>
      <w:r w:rsidRPr="000B7899">
        <w:rPr>
          <w:rFonts w:ascii="Arial" w:hAnsi="Arial"/>
          <w:sz w:val="24"/>
          <w:szCs w:val="24"/>
        </w:rPr>
        <w:t xml:space="preserve">отдел инфраструктурного развития 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hAnsi="Arial"/>
          <w:sz w:val="24"/>
          <w:szCs w:val="24"/>
        </w:rPr>
        <w:t>Исполнительного комитета</w:t>
      </w:r>
      <w:r w:rsidRPr="000B7899">
        <w:rPr>
          <w:rFonts w:ascii="Arial" w:hAnsi="Arial"/>
          <w:i/>
          <w:sz w:val="24"/>
          <w:szCs w:val="24"/>
        </w:rPr>
        <w:t xml:space="preserve"> </w:t>
      </w:r>
      <w:r w:rsidRPr="000B7899">
        <w:rPr>
          <w:rFonts w:ascii="Arial" w:hAnsi="Arial"/>
          <w:sz w:val="24"/>
          <w:szCs w:val="24"/>
        </w:rPr>
        <w:t>Бавлинского муниципального района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>от _______________________________________________________________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 xml:space="preserve">наименование поставщика информации 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>за ____ квартал 202_ года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tbl>
      <w:tblPr>
        <w:tblW w:w="10109" w:type="dxa"/>
        <w:tblLayout w:type="fixed"/>
        <w:tblLook w:val="04A0" w:firstRow="1" w:lastRow="0" w:firstColumn="1" w:lastColumn="0" w:noHBand="0" w:noVBand="1"/>
      </w:tblPr>
      <w:tblGrid>
        <w:gridCol w:w="1303"/>
        <w:gridCol w:w="6103"/>
        <w:gridCol w:w="2703"/>
      </w:tblGrid>
      <w:tr w:rsidR="000B7899" w:rsidRPr="000B7899" w:rsidTr="00E70DF5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>№</w:t>
            </w:r>
          </w:p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center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>п/п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jc w:val="center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 xml:space="preserve">Наименование </w:t>
            </w:r>
            <w:proofErr w:type="spellStart"/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>подпоказателя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jc w:val="center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  <w:t xml:space="preserve">Значение </w:t>
            </w:r>
            <w:proofErr w:type="spellStart"/>
            <w:r w:rsidRPr="000B7899"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  <w:t>подпоказателя</w:t>
            </w:r>
            <w:proofErr w:type="spellEnd"/>
          </w:p>
        </w:tc>
      </w:tr>
      <w:tr w:rsidR="000B7899" w:rsidRPr="000B7899" w:rsidTr="00E70DF5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center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>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widowControl w:val="0"/>
              <w:jc w:val="both"/>
              <w:rPr>
                <w:rFonts w:ascii="Arial" w:eastAsia="Calibri" w:hAnsi="Arial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both"/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B7899" w:rsidRPr="000B7899" w:rsidTr="00E70DF5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center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>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both"/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>Руководитель организации                       __________________________________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right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 xml:space="preserve">                                                                         (Фамилия, </w:t>
      </w:r>
      <w:proofErr w:type="spellStart"/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>И.О</w:t>
      </w:r>
      <w:proofErr w:type="spellEnd"/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>. печать, дата)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bookmarkStart w:id="2" w:name="_GoBack_Копия_1_Копия_1"/>
      <w:bookmarkStart w:id="3" w:name="_GoBack_Копия_1"/>
      <w:bookmarkEnd w:id="2"/>
      <w:bookmarkEnd w:id="3"/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  <w:sectPr w:rsidR="000B7899" w:rsidRPr="000B7899" w:rsidSect="000B7899">
          <w:headerReference w:type="default" r:id="rId10"/>
          <w:headerReference w:type="first" r:id="rId11"/>
          <w:pgSz w:w="11906" w:h="16838"/>
          <w:pgMar w:top="1134" w:right="567" w:bottom="1134" w:left="1134" w:header="0" w:footer="0" w:gutter="0"/>
          <w:cols w:space="720"/>
          <w:formProt w:val="0"/>
          <w:docGrid w:linePitch="360" w:charSpace="8192"/>
        </w:sectPr>
      </w:pPr>
      <w:bookmarkStart w:id="4" w:name="_GoBack_Копия_1_Копия_1_Копия_1"/>
      <w:bookmarkEnd w:id="4"/>
    </w:p>
    <w:tbl>
      <w:tblPr>
        <w:tblW w:w="9727" w:type="dxa"/>
        <w:tblInd w:w="4253" w:type="dxa"/>
        <w:tblLayout w:type="fixed"/>
        <w:tblLook w:val="04A0" w:firstRow="1" w:lastRow="0" w:firstColumn="1" w:lastColumn="0" w:noHBand="0" w:noVBand="1"/>
      </w:tblPr>
      <w:tblGrid>
        <w:gridCol w:w="5953"/>
        <w:gridCol w:w="3774"/>
      </w:tblGrid>
      <w:tr w:rsidR="000B7899" w:rsidRPr="000B7899" w:rsidTr="00E70DF5">
        <w:tc>
          <w:tcPr>
            <w:tcW w:w="5952" w:type="dxa"/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jc w:val="right"/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</w:pPr>
            <w:r w:rsidRPr="000B7899"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  <w:lastRenderedPageBreak/>
              <w:t>Приложение 2</w:t>
            </w:r>
          </w:p>
          <w:p w:rsidR="000B7899" w:rsidRPr="000B7899" w:rsidRDefault="000B7899" w:rsidP="00E70DF5">
            <w:pPr>
              <w:keepNext/>
              <w:widowControl w:val="0"/>
              <w:shd w:val="clear" w:color="auto" w:fill="FFFFFF"/>
              <w:jc w:val="right"/>
              <w:rPr>
                <w:rFonts w:ascii="Arial" w:hAnsi="Arial"/>
                <w:sz w:val="24"/>
                <w:szCs w:val="24"/>
              </w:rPr>
            </w:pPr>
            <w:r w:rsidRPr="000B7899"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  <w:t xml:space="preserve">к </w:t>
            </w:r>
            <w:r w:rsidRPr="000B7899">
              <w:rPr>
                <w:rFonts w:ascii="Arial" w:eastAsia="SimSun" w:hAnsi="Arial"/>
                <w:kern w:val="2"/>
                <w:sz w:val="24"/>
                <w:szCs w:val="24"/>
                <w:lang w:eastAsia="zh-CN" w:bidi="hi-IN"/>
              </w:rPr>
              <w:t>Регламенту сбора и мониторинга данных, необходимых для расчета показателя «Количество семей, улучшивших жилищные условия» за отчетный период, декомпозированного на муниципальный уровень</w:t>
            </w:r>
          </w:p>
        </w:tc>
        <w:tc>
          <w:tcPr>
            <w:tcW w:w="3774" w:type="dxa"/>
            <w:shd w:val="clear" w:color="auto" w:fill="auto"/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both"/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>Форма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>представления</w:t>
      </w:r>
      <w:r w:rsidRPr="000B7899">
        <w:rPr>
          <w:rFonts w:ascii="Arial" w:eastAsia="SimSun" w:hAnsi="Arial"/>
          <w:i/>
          <w:kern w:val="2"/>
          <w:sz w:val="24"/>
          <w:szCs w:val="24"/>
          <w:lang w:eastAsia="zh-CN" w:bidi="hi-IN"/>
        </w:rPr>
        <w:t xml:space="preserve"> </w:t>
      </w:r>
      <w:r w:rsidRPr="000B7899">
        <w:rPr>
          <w:rFonts w:ascii="Arial" w:hAnsi="Arial"/>
          <w:sz w:val="24"/>
          <w:szCs w:val="24"/>
        </w:rPr>
        <w:t>отделом инфраструктурного развития Исполнительного комитета</w:t>
      </w:r>
      <w:r w:rsidRPr="000B7899">
        <w:rPr>
          <w:rFonts w:ascii="Arial" w:hAnsi="Arial"/>
          <w:i/>
          <w:sz w:val="24"/>
          <w:szCs w:val="24"/>
        </w:rPr>
        <w:t xml:space="preserve"> </w:t>
      </w:r>
      <w:r w:rsidRPr="000B7899">
        <w:rPr>
          <w:rFonts w:ascii="Arial" w:hAnsi="Arial"/>
          <w:sz w:val="24"/>
          <w:szCs w:val="24"/>
        </w:rPr>
        <w:t xml:space="preserve">Бавлинского муниципального района </w:t>
      </w: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 xml:space="preserve">данных для расчета показателя </w:t>
      </w:r>
      <w:r w:rsidRPr="000B7899">
        <w:rPr>
          <w:rFonts w:ascii="Arial" w:eastAsia="SimSun" w:hAnsi="Arial"/>
          <w:kern w:val="2"/>
          <w:sz w:val="24"/>
          <w:szCs w:val="24"/>
          <w:lang w:eastAsia="zh-CN" w:bidi="hi-IN"/>
        </w:rPr>
        <w:t>«Количество семей, улучшивших жилищные условия» за отчетный период</w:t>
      </w: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 xml:space="preserve"> в Министерство строительства, архитектуры и жилищно-коммунального хозяйства Республики Татарстан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center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  <w:r w:rsidRPr="000B7899">
        <w:rPr>
          <w:rFonts w:ascii="Arial" w:eastAsia="SimSun" w:hAnsi="Arial" w:cs="Mangal"/>
          <w:kern w:val="2"/>
          <w:sz w:val="24"/>
          <w:szCs w:val="24"/>
          <w:lang w:eastAsia="zh-CN" w:bidi="hi-IN"/>
        </w:rPr>
        <w:t>за ____ квартал 202_ года</w:t>
      </w:r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tbl>
      <w:tblPr>
        <w:tblW w:w="10109" w:type="dxa"/>
        <w:tblLayout w:type="fixed"/>
        <w:tblLook w:val="04A0" w:firstRow="1" w:lastRow="0" w:firstColumn="1" w:lastColumn="0" w:noHBand="0" w:noVBand="1"/>
      </w:tblPr>
      <w:tblGrid>
        <w:gridCol w:w="1303"/>
        <w:gridCol w:w="6070"/>
        <w:gridCol w:w="2736"/>
      </w:tblGrid>
      <w:tr w:rsidR="000B7899" w:rsidRPr="000B7899" w:rsidTr="00E70DF5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center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>№</w:t>
            </w:r>
          </w:p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center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>п/п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jc w:val="center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 xml:space="preserve">Наименование </w:t>
            </w:r>
            <w:proofErr w:type="spellStart"/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>подпоказателя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jc w:val="center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  <w:t xml:space="preserve">Значение </w:t>
            </w:r>
            <w:proofErr w:type="spellStart"/>
            <w:r w:rsidRPr="000B7899"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  <w:t>подпоказателя</w:t>
            </w:r>
            <w:proofErr w:type="spellEnd"/>
          </w:p>
        </w:tc>
      </w:tr>
      <w:tr w:rsidR="000B7899" w:rsidRPr="000B7899" w:rsidTr="00E70DF5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center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>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widowControl w:val="0"/>
              <w:jc w:val="both"/>
              <w:rPr>
                <w:rFonts w:ascii="Arial" w:eastAsia="Calibri" w:hAnsi="Arial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both"/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B7899" w:rsidRPr="000B7899" w:rsidTr="00E70DF5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center"/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</w:pPr>
            <w:r w:rsidRPr="000B7899">
              <w:rPr>
                <w:rFonts w:ascii="Arial" w:eastAsia="Calibri" w:hAnsi="Arial" w:cs="Mangal"/>
                <w:kern w:val="2"/>
                <w:sz w:val="24"/>
                <w:szCs w:val="24"/>
                <w:lang w:bidi="hi-IN"/>
              </w:rPr>
              <w:t>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99" w:rsidRPr="000B7899" w:rsidRDefault="000B7899" w:rsidP="00E70DF5">
            <w:pPr>
              <w:keepNext/>
              <w:widowControl w:val="0"/>
              <w:shd w:val="clear" w:color="auto" w:fill="FFFFFF"/>
              <w:ind w:firstLine="709"/>
              <w:jc w:val="both"/>
              <w:rPr>
                <w:rFonts w:ascii="Arial" w:eastAsia="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keepNext/>
        <w:shd w:val="clear" w:color="auto" w:fill="FFFFFF"/>
        <w:ind w:firstLine="709"/>
        <w:jc w:val="both"/>
        <w:rPr>
          <w:rFonts w:ascii="Arial" w:eastAsia="SimSun" w:hAnsi="Arial" w:cs="Mangal"/>
          <w:kern w:val="2"/>
          <w:sz w:val="24"/>
          <w:szCs w:val="24"/>
          <w:lang w:eastAsia="zh-CN" w:bidi="hi-IN"/>
        </w:rPr>
      </w:pPr>
    </w:p>
    <w:p w:rsidR="000B7899" w:rsidRPr="000B7899" w:rsidRDefault="000B7899" w:rsidP="000B7899">
      <w:pPr>
        <w:widowControl w:val="0"/>
        <w:ind w:firstLine="539"/>
        <w:jc w:val="both"/>
        <w:rPr>
          <w:rFonts w:ascii="Arial" w:hAnsi="Arial"/>
          <w:sz w:val="24"/>
          <w:szCs w:val="24"/>
        </w:rPr>
      </w:pPr>
    </w:p>
    <w:p w:rsidR="000B7899" w:rsidRPr="000B7899" w:rsidRDefault="000B7899" w:rsidP="000B7899">
      <w:pPr>
        <w:ind w:firstLine="709"/>
        <w:jc w:val="both"/>
        <w:rPr>
          <w:rFonts w:ascii="Arial" w:hAnsi="Arial"/>
          <w:sz w:val="24"/>
          <w:szCs w:val="24"/>
        </w:rPr>
      </w:pPr>
    </w:p>
    <w:p w:rsidR="000B7899" w:rsidRPr="000B7899" w:rsidRDefault="000B7899">
      <w:pPr>
        <w:rPr>
          <w:rFonts w:ascii="Arial" w:hAnsi="Arial"/>
          <w:sz w:val="24"/>
          <w:szCs w:val="24"/>
        </w:rPr>
      </w:pPr>
    </w:p>
    <w:sectPr w:rsidR="000B7899" w:rsidRPr="000B7899" w:rsidSect="000B7899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22" w:rsidRDefault="00214622" w:rsidP="000B7899">
      <w:r>
        <w:separator/>
      </w:r>
    </w:p>
  </w:endnote>
  <w:endnote w:type="continuationSeparator" w:id="0">
    <w:p w:rsidR="00214622" w:rsidRDefault="00214622" w:rsidP="000B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22" w:rsidRDefault="00214622" w:rsidP="000B7899">
      <w:r>
        <w:separator/>
      </w:r>
    </w:p>
  </w:footnote>
  <w:footnote w:type="continuationSeparator" w:id="0">
    <w:p w:rsidR="00214622" w:rsidRDefault="00214622" w:rsidP="000B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475984"/>
      <w:docPartObj>
        <w:docPartGallery w:val="Page Numbers (Top of Page)"/>
        <w:docPartUnique/>
      </w:docPartObj>
    </w:sdtPr>
    <w:sdtEndPr/>
    <w:sdtContent>
      <w:p w:rsidR="00557BDA" w:rsidRDefault="00214622" w:rsidP="000B7899">
        <w:pPr>
          <w:pStyle w:val="a4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254050">
          <w:rPr>
            <w:noProof/>
            <w:sz w:val="24"/>
          </w:rPr>
          <w:t>5</w:t>
        </w:r>
        <w:r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DA" w:rsidRDefault="0021462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DA" w:rsidRDefault="002146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85"/>
    <w:rsid w:val="000B7899"/>
    <w:rsid w:val="00214622"/>
    <w:rsid w:val="00254050"/>
    <w:rsid w:val="0062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515D"/>
  <w15:docId w15:val="{9E07D4C9-0394-4F0E-A337-605BF37B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F8197E"/>
    <w:rPr>
      <w:rFonts w:ascii="Cambria" w:hAnsi="Cambria"/>
      <w:b/>
      <w:kern w:val="2"/>
      <w:sz w:val="32"/>
    </w:rPr>
  </w:style>
  <w:style w:type="character" w:customStyle="1" w:styleId="20">
    <w:name w:val="Заголовок 2 Знак"/>
    <w:link w:val="2"/>
    <w:uiPriority w:val="99"/>
    <w:qFormat/>
    <w:locked/>
    <w:rsid w:val="00E26B35"/>
    <w:rPr>
      <w:b/>
      <w:sz w:val="28"/>
      <w:lang w:val="ru-RU" w:eastAsia="ru-RU"/>
    </w:rPr>
  </w:style>
  <w:style w:type="character" w:customStyle="1" w:styleId="a3">
    <w:name w:val="Верхний колонтитул Знак"/>
    <w:link w:val="a4"/>
    <w:uiPriority w:val="99"/>
    <w:qFormat/>
    <w:locked/>
    <w:rsid w:val="006331A9"/>
    <w:rPr>
      <w:sz w:val="28"/>
    </w:rPr>
  </w:style>
  <w:style w:type="character" w:styleId="a5">
    <w:name w:val="page number"/>
    <w:uiPriority w:val="99"/>
    <w:qFormat/>
    <w:rsid w:val="00E26B35"/>
    <w:rPr>
      <w:rFonts w:cs="Times New Roman"/>
    </w:rPr>
  </w:style>
  <w:style w:type="character" w:styleId="a6">
    <w:name w:val="Hyperlink"/>
    <w:uiPriority w:val="99"/>
    <w:rsid w:val="00E26B35"/>
    <w:rPr>
      <w:rFonts w:cs="Times New Roman"/>
      <w:color w:val="0000FF"/>
      <w:u w:val="single"/>
    </w:rPr>
  </w:style>
  <w:style w:type="character" w:customStyle="1" w:styleId="a7">
    <w:name w:val="Основной текст Знак"/>
    <w:link w:val="a8"/>
    <w:uiPriority w:val="99"/>
    <w:qFormat/>
    <w:locked/>
    <w:rsid w:val="00E26B35"/>
    <w:rPr>
      <w:rFonts w:ascii="Verdana" w:hAnsi="Verdana"/>
      <w:b/>
      <w:sz w:val="24"/>
      <w:lang w:val="ar-SA" w:eastAsia="ru-RU"/>
    </w:rPr>
  </w:style>
  <w:style w:type="character" w:customStyle="1" w:styleId="a9">
    <w:name w:val="Нижний колонтитул Знак"/>
    <w:link w:val="aa"/>
    <w:uiPriority w:val="99"/>
    <w:semiHidden/>
    <w:qFormat/>
    <w:rsid w:val="00D568AD"/>
    <w:rPr>
      <w:sz w:val="28"/>
      <w:szCs w:val="28"/>
    </w:rPr>
  </w:style>
  <w:style w:type="character" w:customStyle="1" w:styleId="21">
    <w:name w:val="Основной текст с отступом 2 Знак"/>
    <w:link w:val="22"/>
    <w:uiPriority w:val="99"/>
    <w:qFormat/>
    <w:locked/>
    <w:rsid w:val="00215556"/>
    <w:rPr>
      <w:sz w:val="28"/>
    </w:rPr>
  </w:style>
  <w:style w:type="character" w:styleId="ab">
    <w:name w:val="Strong"/>
    <w:uiPriority w:val="99"/>
    <w:qFormat/>
    <w:rsid w:val="00B2723A"/>
    <w:rPr>
      <w:rFonts w:cs="Times New Roman"/>
      <w:b/>
    </w:rPr>
  </w:style>
  <w:style w:type="character" w:customStyle="1" w:styleId="apple-converted-space">
    <w:name w:val="apple-converted-space"/>
    <w:uiPriority w:val="99"/>
    <w:qFormat/>
    <w:rsid w:val="008F77EC"/>
  </w:style>
  <w:style w:type="character" w:customStyle="1" w:styleId="ac">
    <w:name w:val="Текст выноски Знак"/>
    <w:link w:val="ad"/>
    <w:uiPriority w:val="99"/>
    <w:qFormat/>
    <w:locked/>
    <w:rsid w:val="00A5280B"/>
    <w:rPr>
      <w:rFonts w:ascii="Tahoma" w:hAnsi="Tahoma"/>
      <w:sz w:val="16"/>
    </w:rPr>
  </w:style>
  <w:style w:type="character" w:customStyle="1" w:styleId="ae">
    <w:name w:val="Текст сноски Знак"/>
    <w:link w:val="af"/>
    <w:uiPriority w:val="99"/>
    <w:qFormat/>
    <w:locked/>
    <w:rsid w:val="00120D27"/>
    <w:rPr>
      <w:rFonts w:cs="Times New Roman"/>
    </w:rPr>
  </w:style>
  <w:style w:type="character" w:customStyle="1" w:styleId="af0">
    <w:name w:val="Символ сноски"/>
    <w:uiPriority w:val="99"/>
    <w:qFormat/>
    <w:rsid w:val="00120D27"/>
    <w:rPr>
      <w:rFonts w:cs="Times New Roman"/>
      <w:vertAlign w:val="superscript"/>
    </w:rPr>
  </w:style>
  <w:style w:type="character" w:styleId="af1">
    <w:name w:val="footnote reference"/>
    <w:rPr>
      <w:rFonts w:cs="Times New Roman"/>
      <w:vertAlign w:val="superscript"/>
    </w:rPr>
  </w:style>
  <w:style w:type="character" w:customStyle="1" w:styleId="23">
    <w:name w:val="Основной текст 2 Знак"/>
    <w:link w:val="24"/>
    <w:uiPriority w:val="99"/>
    <w:qFormat/>
    <w:locked/>
    <w:rsid w:val="00C82300"/>
    <w:rPr>
      <w:sz w:val="28"/>
    </w:rPr>
  </w:style>
  <w:style w:type="character" w:customStyle="1" w:styleId="af2">
    <w:name w:val="Заголовок Знак"/>
    <w:link w:val="af3"/>
    <w:uiPriority w:val="99"/>
    <w:qFormat/>
    <w:locked/>
    <w:rsid w:val="00C82300"/>
    <w:rPr>
      <w:rFonts w:ascii="Cambria" w:hAnsi="Cambria"/>
      <w:b/>
      <w:kern w:val="2"/>
      <w:sz w:val="32"/>
    </w:rPr>
  </w:style>
  <w:style w:type="paragraph" w:styleId="af3">
    <w:name w:val="Title"/>
    <w:basedOn w:val="a"/>
    <w:next w:val="a8"/>
    <w:link w:val="af2"/>
    <w:uiPriority w:val="99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8">
    <w:name w:val="Body Text"/>
    <w:basedOn w:val="a"/>
    <w:link w:val="a7"/>
    <w:uiPriority w:val="99"/>
    <w:rsid w:val="00E26B35"/>
    <w:pPr>
      <w:jc w:val="center"/>
    </w:pPr>
    <w:rPr>
      <w:rFonts w:ascii="Verdana" w:hAnsi="Verdana"/>
      <w:b/>
      <w:sz w:val="36"/>
      <w:szCs w:val="24"/>
      <w:lang w:val="ar-SA"/>
    </w:rPr>
  </w:style>
  <w:style w:type="paragraph" w:styleId="af4">
    <w:name w:val="List"/>
    <w:basedOn w:val="a8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E26B3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rsid w:val="00BF6A4E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215556"/>
    <w:pPr>
      <w:spacing w:after="120" w:line="480" w:lineRule="auto"/>
      <w:ind w:left="283"/>
    </w:pPr>
  </w:style>
  <w:style w:type="paragraph" w:styleId="ad">
    <w:name w:val="Balloon Text"/>
    <w:basedOn w:val="a"/>
    <w:link w:val="ac"/>
    <w:uiPriority w:val="99"/>
    <w:qFormat/>
    <w:rsid w:val="00A5280B"/>
    <w:rPr>
      <w:rFonts w:ascii="Tahoma" w:hAnsi="Tahoma"/>
      <w:sz w:val="16"/>
      <w:szCs w:val="16"/>
    </w:rPr>
  </w:style>
  <w:style w:type="paragraph" w:styleId="af">
    <w:name w:val="footnote text"/>
    <w:basedOn w:val="a"/>
    <w:link w:val="ae"/>
    <w:uiPriority w:val="99"/>
    <w:rsid w:val="00120D27"/>
    <w:rPr>
      <w:sz w:val="20"/>
      <w:szCs w:val="20"/>
    </w:rPr>
  </w:style>
  <w:style w:type="paragraph" w:customStyle="1" w:styleId="4">
    <w:name w:val="Знак Знак4"/>
    <w:basedOn w:val="a"/>
    <w:uiPriority w:val="99"/>
    <w:qFormat/>
    <w:rsid w:val="00BE27F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2"/>
    <w:basedOn w:val="a"/>
    <w:link w:val="23"/>
    <w:uiPriority w:val="99"/>
    <w:qFormat/>
    <w:rsid w:val="00C82300"/>
    <w:pPr>
      <w:spacing w:after="120" w:line="480" w:lineRule="auto"/>
    </w:pPr>
  </w:style>
  <w:style w:type="paragraph" w:customStyle="1" w:styleId="41">
    <w:name w:val="Знак Знак41"/>
    <w:basedOn w:val="a"/>
    <w:uiPriority w:val="99"/>
    <w:qFormat/>
    <w:rsid w:val="0052306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65884"/>
    <w:pPr>
      <w:widowControl w:val="0"/>
      <w:ind w:firstLine="720"/>
    </w:pPr>
    <w:rPr>
      <w:rFonts w:ascii="Arial" w:hAnsi="Arial" w:cs="Arial"/>
    </w:rPr>
  </w:style>
  <w:style w:type="table" w:customStyle="1" w:styleId="25">
    <w:name w:val="Сетка таблицы2"/>
    <w:basedOn w:val="a1"/>
    <w:uiPriority w:val="39"/>
    <w:rsid w:val="000B78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6F322BA2034ACD91CDCDA025EA9B82382C215FE92AAAA2811533DC37B4219E05B13A487F387B5929BBB6914B09C1BF59BA02D99585A522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BE7C5-8518-4F48-A49F-CF75E7BD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dc:description/>
  <cp:lastModifiedBy>Татьяна Алатырева</cp:lastModifiedBy>
  <cp:revision>2</cp:revision>
  <cp:lastPrinted>2024-03-05T11:44:00Z</cp:lastPrinted>
  <dcterms:created xsi:type="dcterms:W3CDTF">2024-03-11T10:40:00Z</dcterms:created>
  <dcterms:modified xsi:type="dcterms:W3CDTF">2024-03-11T10:40:00Z</dcterms:modified>
  <dc:language>ru-RU</dc:language>
</cp:coreProperties>
</file>