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98355F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907CEA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B22A6F" w:rsidP="00833244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внесении </w:t>
            </w:r>
            <w:r w:rsidR="00B40CD8">
              <w:t>изменений</w:t>
            </w:r>
            <w:r>
              <w:t xml:space="preserve"> </w:t>
            </w:r>
            <w:r w:rsidR="002E27AF">
              <w:t xml:space="preserve">и дополнений в </w:t>
            </w:r>
            <w:r w:rsidR="00B40CD8">
              <w:t>постановление</w:t>
            </w:r>
            <w:r w:rsidR="00E05AAC">
              <w:t xml:space="preserve"> Исполнительного </w:t>
            </w:r>
            <w:proofErr w:type="gramStart"/>
            <w:r w:rsidR="00E05AAC">
              <w:t>коми</w:t>
            </w:r>
            <w:r w:rsidR="002E27AF">
              <w:t>-</w:t>
            </w:r>
            <w:proofErr w:type="spellStart"/>
            <w:r w:rsidR="00E05AAC">
              <w:t>тета</w:t>
            </w:r>
            <w:proofErr w:type="spellEnd"/>
            <w:proofErr w:type="gramEnd"/>
            <w:r w:rsidR="00E05AAC">
              <w:t xml:space="preserve"> Бавлинского муниципального района</w:t>
            </w:r>
            <w:r w:rsidR="00E05AAC" w:rsidRPr="007B25FA">
              <w:t xml:space="preserve"> </w:t>
            </w:r>
            <w:r w:rsidR="00E05AAC" w:rsidRPr="000B6F28">
              <w:t>от</w:t>
            </w:r>
            <w:r w:rsidR="00B40CD8" w:rsidRPr="00B40CD8">
              <w:rPr>
                <w:szCs w:val="24"/>
              </w:rPr>
              <w:t xml:space="preserve"> 04.11.2022 №232</w:t>
            </w:r>
            <w:r w:rsidR="00B40CD8">
              <w:rPr>
                <w:szCs w:val="24"/>
              </w:rPr>
              <w:t xml:space="preserve"> «</w:t>
            </w:r>
            <w:r w:rsidR="00B40CD8" w:rsidRPr="00B40CD8">
              <w:rPr>
                <w:szCs w:val="24"/>
              </w:rPr>
              <w:t>Об утверждении Положения и состава</w:t>
            </w:r>
            <w:r w:rsidR="00B40CD8">
              <w:rPr>
                <w:szCs w:val="24"/>
              </w:rPr>
              <w:t xml:space="preserve"> </w:t>
            </w:r>
            <w:r w:rsidR="00B40CD8" w:rsidRPr="00B40CD8">
              <w:rPr>
                <w:szCs w:val="24"/>
              </w:rPr>
              <w:t>Единой комиссии по осуществлению</w:t>
            </w:r>
            <w:r w:rsidR="00B40CD8">
              <w:rPr>
                <w:szCs w:val="24"/>
              </w:rPr>
              <w:t xml:space="preserve"> </w:t>
            </w:r>
            <w:r w:rsidR="00B40CD8" w:rsidRPr="00B40CD8">
              <w:rPr>
                <w:szCs w:val="24"/>
              </w:rPr>
              <w:t>закупок товаров, работ, услуг для</w:t>
            </w:r>
            <w:r w:rsidR="00B40CD8">
              <w:rPr>
                <w:szCs w:val="24"/>
              </w:rPr>
              <w:t xml:space="preserve"> </w:t>
            </w:r>
            <w:r w:rsidR="00B40CD8" w:rsidRPr="00B40CD8">
              <w:rPr>
                <w:szCs w:val="24"/>
              </w:rPr>
              <w:t>обеспечения муниципальных нужд</w:t>
            </w:r>
            <w:r w:rsidR="00B40CD8">
              <w:rPr>
                <w:szCs w:val="24"/>
              </w:rPr>
              <w:t xml:space="preserve"> </w:t>
            </w:r>
            <w:r w:rsidR="00B40CD8" w:rsidRPr="00B40CD8">
              <w:rPr>
                <w:szCs w:val="24"/>
              </w:rPr>
              <w:t>Бавлинского муниципального района</w:t>
            </w:r>
            <w:r w:rsidR="00D6222B">
              <w:rPr>
                <w:szCs w:val="24"/>
              </w:rPr>
              <w:t>»</w:t>
            </w:r>
            <w:r w:rsidR="00B40CD8" w:rsidRPr="00B40CD8">
              <w:rPr>
                <w:szCs w:val="24"/>
              </w:rPr>
              <w:t xml:space="preserve"> </w:t>
            </w:r>
            <w:r w:rsidR="00B40CD8">
              <w:rPr>
                <w:szCs w:val="24"/>
              </w:rPr>
              <w:t xml:space="preserve">(с изм. от </w:t>
            </w:r>
            <w:r w:rsidR="00B40CD8" w:rsidRPr="00B40CD8">
              <w:rPr>
                <w:szCs w:val="24"/>
              </w:rPr>
              <w:t>10.04.2023</w:t>
            </w:r>
            <w:r w:rsidR="00B40CD8">
              <w:rPr>
                <w:szCs w:val="24"/>
              </w:rPr>
              <w:t xml:space="preserve"> </w:t>
            </w:r>
            <w:r w:rsidR="00B40CD8" w:rsidRPr="00B40CD8">
              <w:rPr>
                <w:szCs w:val="24"/>
              </w:rPr>
              <w:t>№89</w:t>
            </w:r>
            <w:r w:rsidR="00833244">
              <w:rPr>
                <w:szCs w:val="24"/>
              </w:rPr>
              <w:t>,</w:t>
            </w:r>
            <w:r w:rsidR="00833244">
              <w:t xml:space="preserve"> </w:t>
            </w:r>
            <w:r w:rsidR="00833244" w:rsidRPr="00833244">
              <w:rPr>
                <w:szCs w:val="24"/>
              </w:rPr>
              <w:t>от 26</w:t>
            </w:r>
            <w:r w:rsidR="00833244">
              <w:rPr>
                <w:szCs w:val="24"/>
              </w:rPr>
              <w:t>.05.</w:t>
            </w:r>
            <w:r w:rsidR="00833244" w:rsidRPr="00833244">
              <w:rPr>
                <w:szCs w:val="24"/>
              </w:rPr>
              <w:t xml:space="preserve">2023 </w:t>
            </w:r>
            <w:r w:rsidR="00833244">
              <w:rPr>
                <w:szCs w:val="24"/>
              </w:rPr>
              <w:t>№</w:t>
            </w:r>
            <w:r w:rsidR="00833244" w:rsidRPr="00833244">
              <w:rPr>
                <w:szCs w:val="24"/>
              </w:rPr>
              <w:t>122</w:t>
            </w:r>
            <w:r w:rsidR="00B40CD8">
              <w:rPr>
                <w:szCs w:val="24"/>
              </w:rPr>
              <w:t>)</w:t>
            </w:r>
            <w:bookmarkEnd w:id="0"/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2B1CC6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соответствии с</w:t>
      </w:r>
      <w:r w:rsidRPr="002B1CC6">
        <w:t xml:space="preserve"> </w:t>
      </w:r>
      <w:r w:rsidR="00B40CD8" w:rsidRPr="00B40CD8">
        <w:t>Федеральны</w:t>
      </w:r>
      <w:r w:rsidR="00B40CD8">
        <w:t>м</w:t>
      </w:r>
      <w:r w:rsidR="00B40CD8" w:rsidRPr="00B40CD8">
        <w:t xml:space="preserve"> закон</w:t>
      </w:r>
      <w:r w:rsidR="00B40CD8">
        <w:t>ом</w:t>
      </w:r>
      <w:r w:rsidR="00B40CD8" w:rsidRPr="00B40CD8">
        <w:t xml:space="preserve"> от 11.06.2022 </w:t>
      </w:r>
      <w:r w:rsidR="00B40CD8">
        <w:t>№</w:t>
      </w:r>
      <w:r w:rsidR="00B40CD8" w:rsidRPr="00B40CD8">
        <w:t xml:space="preserve">160-ФЗ </w:t>
      </w:r>
      <w:r w:rsidR="00B40CD8">
        <w:t>«</w:t>
      </w:r>
      <w:r w:rsidR="00B40CD8" w:rsidRPr="00B40CD8">
        <w:t xml:space="preserve">О внесении изменений в статью 3 Федерального закона </w:t>
      </w:r>
      <w:r w:rsidR="00B40CD8">
        <w:t>«</w:t>
      </w:r>
      <w:r w:rsidR="00B40CD8" w:rsidRPr="00B40CD8">
        <w:t>О закупках товаров, работ, услуг отдельными видами юридических лиц</w:t>
      </w:r>
      <w:r w:rsidR="00B40CD8">
        <w:t>»</w:t>
      </w:r>
      <w:r w:rsidR="00B40CD8" w:rsidRPr="00B40CD8">
        <w:t xml:space="preserve"> и Федеральный закон </w:t>
      </w:r>
      <w:r w:rsidR="00B40CD8">
        <w:t>«</w:t>
      </w:r>
      <w:r w:rsidR="00B40CD8" w:rsidRPr="00B40CD8">
        <w:t>О контрактной системе в сфере закупок товаров, работ, услуг для обеспечения государственных и муниципальных нужд</w:t>
      </w:r>
      <w:r w:rsidR="00B40CD8">
        <w:t>»</w:t>
      </w:r>
      <w:r w:rsidR="00907CEA">
        <w:t xml:space="preserve">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B81EF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1BC7">
        <w:t xml:space="preserve">1. </w:t>
      </w:r>
      <w:r w:rsidR="00CD3B24" w:rsidRPr="00C11BC7">
        <w:t xml:space="preserve">Внести в </w:t>
      </w:r>
      <w:r w:rsidR="00B40CD8" w:rsidRPr="00B40CD8">
        <w:t xml:space="preserve">постановление </w:t>
      </w:r>
      <w:r w:rsidR="002E27AF">
        <w:t>Исполнительного комитета Бавлин</w:t>
      </w:r>
      <w:r w:rsidR="00B40CD8" w:rsidRPr="00B40CD8">
        <w:t>ского муниципального района от 04.11.2022 №232 «Об утверждении Положения и состава Единой комиссии по осуществлению закупок товаров, работ, услуг для обеспечения муниципальных нужд Бавлинского муниципального района</w:t>
      </w:r>
      <w:r w:rsidR="00D6222B">
        <w:t>»</w:t>
      </w:r>
      <w:r w:rsidR="00B40CD8" w:rsidRPr="00B40CD8">
        <w:t xml:space="preserve"> (с изм</w:t>
      </w:r>
      <w:r w:rsidR="00B40CD8">
        <w:t>енениями, внесенными постановлением</w:t>
      </w:r>
      <w:r w:rsidR="00B40CD8" w:rsidRPr="00B40CD8">
        <w:t xml:space="preserve"> от 10.04.2023 №89</w:t>
      </w:r>
      <w:r w:rsidR="00833244">
        <w:t>,</w:t>
      </w:r>
      <w:r w:rsidR="00833244" w:rsidRPr="00833244">
        <w:rPr>
          <w:szCs w:val="24"/>
        </w:rPr>
        <w:t xml:space="preserve"> </w:t>
      </w:r>
      <w:r w:rsidR="00833244" w:rsidRPr="00833244">
        <w:rPr>
          <w:szCs w:val="24"/>
        </w:rPr>
        <w:t>от 26</w:t>
      </w:r>
      <w:r w:rsidR="00833244">
        <w:rPr>
          <w:szCs w:val="24"/>
        </w:rPr>
        <w:t>.05.</w:t>
      </w:r>
      <w:r w:rsidR="00833244" w:rsidRPr="00833244">
        <w:rPr>
          <w:szCs w:val="24"/>
        </w:rPr>
        <w:t xml:space="preserve">2023 </w:t>
      </w:r>
      <w:r w:rsidR="00833244">
        <w:rPr>
          <w:szCs w:val="24"/>
        </w:rPr>
        <w:t>№</w:t>
      </w:r>
      <w:r w:rsidR="00833244" w:rsidRPr="00833244">
        <w:rPr>
          <w:szCs w:val="24"/>
        </w:rPr>
        <w:t>122</w:t>
      </w:r>
      <w:r w:rsidR="00B40CD8" w:rsidRPr="00B40CD8">
        <w:t>)</w:t>
      </w:r>
      <w:r w:rsidR="00B81EF7">
        <w:t xml:space="preserve"> </w:t>
      </w:r>
      <w:r w:rsidR="00530B14" w:rsidRPr="00C11BC7">
        <w:t>следующ</w:t>
      </w:r>
      <w:r w:rsidR="00B40CD8">
        <w:t>ие</w:t>
      </w:r>
      <w:r w:rsidR="004662FF" w:rsidRPr="00C11BC7">
        <w:t xml:space="preserve"> изменени</w:t>
      </w:r>
      <w:r w:rsidR="00B40CD8">
        <w:t>я</w:t>
      </w:r>
      <w:r w:rsidR="002E27AF">
        <w:t xml:space="preserve"> и дополнения</w:t>
      </w:r>
      <w:r w:rsidR="00530B14" w:rsidRPr="00C11BC7">
        <w:t>:</w:t>
      </w:r>
    </w:p>
    <w:p w:rsidR="00B40CD8" w:rsidRDefault="00023D14" w:rsidP="00C855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</w:t>
      </w:r>
      <w:r w:rsidR="00DB3249">
        <w:t>ункт</w:t>
      </w:r>
      <w:r w:rsidR="006D0EE7">
        <w:t>ы 7.1.</w:t>
      </w:r>
      <w:r w:rsidR="00DB3249">
        <w:t xml:space="preserve"> </w:t>
      </w:r>
      <w:r w:rsidR="006D0EE7">
        <w:t xml:space="preserve">и </w:t>
      </w:r>
      <w:r w:rsidR="00DB3249">
        <w:t>7.2. изложить в следующей редакции:</w:t>
      </w:r>
    </w:p>
    <w:p w:rsidR="006D0EE7" w:rsidRDefault="006D0EE7" w:rsidP="006D0EE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«7</w:t>
      </w:r>
      <w:r>
        <w:t xml:space="preserve">.1. Работа Единой комиссии осуществляется на ее заседаниях. </w:t>
      </w:r>
    </w:p>
    <w:p w:rsidR="006D0EE7" w:rsidRDefault="006D0EE7" w:rsidP="006D0EE7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Члены Единой комиссии </w:t>
      </w:r>
      <w:r>
        <w:t xml:space="preserve">должны быть </w:t>
      </w:r>
      <w:r>
        <w:t>своевременно уведомл</w:t>
      </w:r>
      <w:r>
        <w:t>ены</w:t>
      </w:r>
      <w:r>
        <w:t xml:space="preserve"> о месте</w:t>
      </w:r>
      <w:r>
        <w:t xml:space="preserve"> (при необходимости)</w:t>
      </w:r>
      <w:r>
        <w:t>, дате и времени проведения заседания комиссии.</w:t>
      </w:r>
      <w:r w:rsidRPr="006D0EE7">
        <w:t xml:space="preserve"> </w:t>
      </w:r>
      <w:r w:rsidRPr="00DB3249">
        <w:t xml:space="preserve">Члены </w:t>
      </w:r>
      <w:r w:rsidRPr="00DB3249">
        <w:lastRenderedPageBreak/>
        <w:t>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Делегирование членами комиссии своих полномочий иным лицам не допускается.</w:t>
      </w:r>
      <w:r>
        <w:t>»;</w:t>
      </w:r>
    </w:p>
    <w:p w:rsidR="005929EC" w:rsidRPr="005929EC" w:rsidRDefault="006D0EE7" w:rsidP="008332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t xml:space="preserve">7.2. </w:t>
      </w:r>
      <w:r w:rsidRPr="00833244">
        <w:t xml:space="preserve">Решения Единой комиссии принимаются простым большинством голосов от числа присутствующих на заседании членов. </w:t>
      </w:r>
      <w:r w:rsidR="00833244">
        <w:t>Заседание Единой комиссии считается правомочным, если на нем присутствует не менее чем пятьдесят процентов от общего числа ее членов.</w:t>
      </w:r>
      <w:r w:rsidR="00833244">
        <w:t xml:space="preserve"> </w:t>
      </w:r>
      <w:r w:rsidR="00023D14">
        <w:t xml:space="preserve">Общее количество членов Единой комиссии составляет пять человек. </w:t>
      </w:r>
      <w:r w:rsidRPr="006D0EE7">
        <w:t xml:space="preserve">При равенстве голосов голос Председателя является решающим. При голосовании каждый член Единой комиссии имеет один </w:t>
      </w:r>
      <w:proofErr w:type="gramStart"/>
      <w:r w:rsidR="00833244" w:rsidRPr="006D0EE7">
        <w:t>голос.</w:t>
      </w:r>
      <w:r w:rsidR="00833244">
        <w:t>»;.</w:t>
      </w:r>
      <w:proofErr w:type="gramEnd"/>
      <w:r w:rsidRPr="006D0EE7">
        <w:t xml:space="preserve"> </w:t>
      </w:r>
    </w:p>
    <w:p w:rsidR="00E353CE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hyperlink r:id="rId9" w:history="1">
        <w:r w:rsidR="002E27AF" w:rsidRPr="00D6222B">
          <w:rPr>
            <w:rStyle w:val="ad"/>
            <w:color w:val="auto"/>
            <w:u w:val="none"/>
          </w:rPr>
          <w:t>http://www.bavly.tatarstan.ru</w:t>
        </w:r>
      </w:hyperlink>
      <w:r w:rsidR="00523A06">
        <w:t>)</w:t>
      </w:r>
      <w:r w:rsidR="00E353CE">
        <w:t>.</w:t>
      </w:r>
    </w:p>
    <w:p w:rsidR="002E27AF" w:rsidRDefault="002E27AF" w:rsidP="002E27AF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3. </w:t>
      </w:r>
      <w:r w:rsidRPr="002E27AF">
        <w:t xml:space="preserve">Контроль за исполнением настоящего постановления возложить на заместителя руководителя Исполнительного комитета Бавлинского </w:t>
      </w:r>
      <w:proofErr w:type="spellStart"/>
      <w:proofErr w:type="gramStart"/>
      <w:r w:rsidRPr="002E27AF">
        <w:t>муници-пального</w:t>
      </w:r>
      <w:proofErr w:type="spellEnd"/>
      <w:proofErr w:type="gramEnd"/>
      <w:r w:rsidRPr="002E27AF">
        <w:t xml:space="preserve"> района по экономическому развитию.</w:t>
      </w:r>
    </w:p>
    <w:p w:rsidR="00C11BC7" w:rsidRDefault="00C11BC7" w:rsidP="00C11BC7">
      <w:pPr>
        <w:autoSpaceDE w:val="0"/>
        <w:autoSpaceDN w:val="0"/>
        <w:adjustRightInd w:val="0"/>
        <w:ind w:firstLine="708"/>
      </w:pPr>
    </w:p>
    <w:p w:rsidR="004A6ECC" w:rsidRDefault="004A6ECC" w:rsidP="00C11BC7">
      <w:pPr>
        <w:autoSpaceDE w:val="0"/>
        <w:autoSpaceDN w:val="0"/>
        <w:adjustRightInd w:val="0"/>
        <w:ind w:firstLine="708"/>
      </w:pPr>
    </w:p>
    <w:p w:rsidR="002E27AF" w:rsidRPr="002E27AF" w:rsidRDefault="002E27AF" w:rsidP="00C11BC7">
      <w:pPr>
        <w:autoSpaceDE w:val="0"/>
        <w:autoSpaceDN w:val="0"/>
        <w:adjustRightInd w:val="0"/>
        <w:ind w:firstLine="708"/>
      </w:pPr>
    </w:p>
    <w:p w:rsidR="002E27AF" w:rsidRPr="002E27AF" w:rsidRDefault="002E27AF" w:rsidP="002E27AF">
      <w:pPr>
        <w:autoSpaceDE w:val="0"/>
        <w:autoSpaceDN w:val="0"/>
        <w:adjustRightInd w:val="0"/>
      </w:pPr>
      <w:r w:rsidRPr="002E27AF">
        <w:t xml:space="preserve">                   Руководитель</w:t>
      </w:r>
    </w:p>
    <w:p w:rsidR="002E27AF" w:rsidRPr="002E27AF" w:rsidRDefault="002E27AF" w:rsidP="002E27AF">
      <w:pPr>
        <w:autoSpaceDE w:val="0"/>
        <w:autoSpaceDN w:val="0"/>
        <w:adjustRightInd w:val="0"/>
      </w:pPr>
      <w:r w:rsidRPr="002E27AF">
        <w:t xml:space="preserve">       Исполнительного комитета</w:t>
      </w:r>
    </w:p>
    <w:p w:rsidR="002E27AF" w:rsidRPr="002E27AF" w:rsidRDefault="002E27AF" w:rsidP="002E27AF">
      <w:pPr>
        <w:jc w:val="both"/>
      </w:pPr>
      <w:r w:rsidRPr="002E27AF">
        <w:t xml:space="preserve">Бавлинского муниципального района                                  </w:t>
      </w:r>
      <w:r>
        <w:t xml:space="preserve">   </w:t>
      </w:r>
      <w:r w:rsidRPr="002E27AF">
        <w:t xml:space="preserve">                 </w:t>
      </w:r>
      <w:proofErr w:type="spellStart"/>
      <w:r w:rsidRPr="002E27AF">
        <w:t>Д.Л</w:t>
      </w:r>
      <w:proofErr w:type="spellEnd"/>
      <w:r w:rsidRPr="002E27AF">
        <w:t>. Бакиров</w:t>
      </w:r>
    </w:p>
    <w:p w:rsidR="002E27AF" w:rsidRPr="00E066E2" w:rsidRDefault="002E27AF" w:rsidP="00C11BC7">
      <w:pPr>
        <w:autoSpaceDE w:val="0"/>
        <w:autoSpaceDN w:val="0"/>
        <w:adjustRightInd w:val="0"/>
        <w:ind w:firstLine="708"/>
      </w:pPr>
    </w:p>
    <w:sectPr w:rsidR="002E27AF" w:rsidRPr="00E066E2" w:rsidSect="00523A06">
      <w:headerReference w:type="even" r:id="rId10"/>
      <w:headerReference w:type="default" r:id="rId11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F0" w:rsidRDefault="00D14CF0">
      <w:r>
        <w:separator/>
      </w:r>
    </w:p>
  </w:endnote>
  <w:endnote w:type="continuationSeparator" w:id="0">
    <w:p w:rsidR="00D14CF0" w:rsidRDefault="00D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F0" w:rsidRDefault="00D14CF0">
      <w:r>
        <w:separator/>
      </w:r>
    </w:p>
  </w:footnote>
  <w:footnote w:type="continuationSeparator" w:id="0">
    <w:p w:rsidR="00D14CF0" w:rsidRDefault="00D1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023D14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22319"/>
    <w:rsid w:val="00023D14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4C4A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3958"/>
    <w:rsid w:val="002C682E"/>
    <w:rsid w:val="002D1B73"/>
    <w:rsid w:val="002D4921"/>
    <w:rsid w:val="002E25C0"/>
    <w:rsid w:val="002E27AF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EC"/>
    <w:rsid w:val="005929F6"/>
    <w:rsid w:val="00593DB7"/>
    <w:rsid w:val="00594F82"/>
    <w:rsid w:val="005974CD"/>
    <w:rsid w:val="005A5467"/>
    <w:rsid w:val="005A5536"/>
    <w:rsid w:val="005A59AF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0EE7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7C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7F5D71"/>
    <w:rsid w:val="00815BA1"/>
    <w:rsid w:val="00821641"/>
    <w:rsid w:val="00824A8B"/>
    <w:rsid w:val="00832AF0"/>
    <w:rsid w:val="00833244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2B61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71E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1B59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08BC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40CD8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0FC2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76"/>
    <w:rsid w:val="00C2249C"/>
    <w:rsid w:val="00C23A18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14CF0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222B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249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4350"/>
    <w:rsid w:val="00FB7446"/>
    <w:rsid w:val="00FC0419"/>
    <w:rsid w:val="00FC36FA"/>
    <w:rsid w:val="00FC5463"/>
    <w:rsid w:val="00FC5F67"/>
    <w:rsid w:val="00FD2014"/>
    <w:rsid w:val="00FD6C3B"/>
    <w:rsid w:val="00FD7D2C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5997F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F188-005E-4BA8-814E-38537D43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2689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2023-09-14T12:30:00Z</cp:lastPrinted>
  <dcterms:created xsi:type="dcterms:W3CDTF">2023-09-14T13:01:00Z</dcterms:created>
  <dcterms:modified xsi:type="dcterms:W3CDTF">2023-09-14T13:01:00Z</dcterms:modified>
</cp:coreProperties>
</file>