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7E7B0D" w14:paraId="7365B41D" w14:textId="77777777" w:rsidTr="00583BA3">
        <w:trPr>
          <w:trHeight w:val="1221"/>
        </w:trPr>
        <w:tc>
          <w:tcPr>
            <w:tcW w:w="4400" w:type="dxa"/>
          </w:tcPr>
          <w:p w14:paraId="466E4DDB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10ADAA18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16324E5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5563910" wp14:editId="47D7E1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B5EA7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BAF115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BF5FE2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2CE5636" w14:textId="77777777" w:rsidR="00ED7922" w:rsidRPr="007E7B0D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20CE5226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2632514D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7E7B0D" w14:paraId="0E93B1E1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1FBB9EC5" w14:textId="77777777" w:rsidR="00ED7922" w:rsidRPr="007E7B0D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C6A422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7E7B0D" w14:paraId="259F9C8E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531BAC3A" w14:textId="77777777" w:rsidR="00ED7922" w:rsidRPr="007E7B0D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7AAFC58" w14:textId="77777777" w:rsidR="00ED7922" w:rsidRPr="007E7B0D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C00ADC" w:rsidRPr="007E7B0D" w14:paraId="6AD27CC6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7745AC3B" w14:textId="77777777" w:rsidR="00ED7922" w:rsidRPr="007E7B0D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ED3990" w14:textId="77777777" w:rsidR="00ED7922" w:rsidRPr="007E7B0D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7B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5C612F8" w14:textId="2B5574AE" w:rsidR="00ED7922" w:rsidRPr="007E7B0D" w:rsidRDefault="00ED7922" w:rsidP="00C00A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809991D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43B7A4" w14:textId="77777777" w:rsidR="003B4195" w:rsidRPr="007E7B0D" w:rsidRDefault="003B4195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</w:p>
    <w:p w14:paraId="27E8DAB5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2B1B1A36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49C955E5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от 06.08.2021 № </w:t>
      </w:r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65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Правил </w:t>
      </w:r>
    </w:p>
    <w:p w14:paraId="4BF10895" w14:textId="77777777" w:rsidR="008C10DD" w:rsidRPr="007E7B0D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</w:p>
    <w:p w14:paraId="78E32686" w14:textId="77777777" w:rsidR="00ED7922" w:rsidRPr="007E7B0D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3D49E02F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562A4E81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128621" w14:textId="77777777" w:rsidR="00ED7922" w:rsidRPr="007E7B0D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B05C9B" w14:textId="77777777" w:rsidR="00ED7922" w:rsidRPr="007E7B0D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75DD7E1F" w14:textId="77777777" w:rsidR="0025552E" w:rsidRPr="007E7B0D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7E7B0D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 xml:space="preserve"> 65</w:t>
      </w:r>
      <w:r w:rsidR="00C3002F" w:rsidRPr="007E7B0D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4D3C66F8" w14:textId="77777777" w:rsidR="00BA7B28" w:rsidRPr="007E7B0D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FF19E6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7E7B0D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7E7B0D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21470DBD" w14:textId="77777777" w:rsidR="002E0E67" w:rsidRPr="007E7B0D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3DE6D6BD" w14:textId="77777777" w:rsidR="000C53DB" w:rsidRPr="007E7B0D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7E7B0D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>Исергаповского</w:t>
      </w:r>
      <w:proofErr w:type="spellEnd"/>
      <w:r w:rsidR="00BA6205" w:rsidRPr="007E7B0D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7E7B0D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7E7B0D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7E7B0D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5BC8EAA6" w14:textId="77777777" w:rsidR="002E0E67" w:rsidRPr="007E7B0D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7E7B0D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7E7B0D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7E7B0D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45DEC1EA" w14:textId="77777777" w:rsidR="00F051F3" w:rsidRPr="007E7B0D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E7B0D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7E7B0D">
        <w:rPr>
          <w:rFonts w:ascii="Arial" w:hAnsi="Arial" w:cs="Arial"/>
          <w:color w:val="000000" w:themeColor="text1"/>
        </w:rPr>
        <w:t>Совета</w:t>
      </w:r>
      <w:r w:rsidR="00F051F3" w:rsidRPr="007E7B0D">
        <w:rPr>
          <w:rFonts w:ascii="Arial" w:hAnsi="Arial" w:cs="Arial"/>
          <w:color w:val="000000" w:themeColor="text1"/>
        </w:rPr>
        <w:t xml:space="preserve"> Бавлинского </w:t>
      </w:r>
      <w:r w:rsidRPr="007E7B0D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7E7B0D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7E7B0D">
        <w:rPr>
          <w:rFonts w:ascii="Arial" w:hAnsi="Arial" w:cs="Arial"/>
          <w:color w:val="000000" w:themeColor="text1"/>
        </w:rPr>
        <w:t xml:space="preserve"> и </w:t>
      </w:r>
      <w:r w:rsidRPr="007E7B0D">
        <w:rPr>
          <w:rStyle w:val="match"/>
          <w:rFonts w:ascii="Arial" w:hAnsi="Arial" w:cs="Arial"/>
          <w:color w:val="000000" w:themeColor="text1"/>
        </w:rPr>
        <w:t>застройки</w:t>
      </w:r>
      <w:r w:rsidRPr="007E7B0D">
        <w:rPr>
          <w:rFonts w:ascii="Arial" w:hAnsi="Arial" w:cs="Arial"/>
          <w:color w:val="000000" w:themeColor="text1"/>
        </w:rPr>
        <w:t xml:space="preserve"> относятся:</w:t>
      </w:r>
    </w:p>
    <w:p w14:paraId="0DC1FF29" w14:textId="77777777" w:rsidR="00F051F3" w:rsidRPr="007E7B0D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E7B0D">
        <w:rPr>
          <w:rFonts w:ascii="Arial" w:hAnsi="Arial" w:cs="Arial"/>
          <w:color w:val="000000" w:themeColor="text1"/>
        </w:rPr>
        <w:t xml:space="preserve">- </w:t>
      </w:r>
      <w:r w:rsidR="00361DFC" w:rsidRPr="007E7B0D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7E7B0D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7E7B0D">
        <w:rPr>
          <w:rFonts w:ascii="Arial" w:hAnsi="Arial" w:cs="Arial"/>
          <w:color w:val="000000" w:themeColor="text1"/>
        </w:rPr>
        <w:t xml:space="preserve"> </w:t>
      </w:r>
      <w:r w:rsidR="00361DFC" w:rsidRPr="007E7B0D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7E7B0D">
        <w:rPr>
          <w:rFonts w:ascii="Arial" w:hAnsi="Arial" w:cs="Arial"/>
          <w:color w:val="000000" w:themeColor="text1"/>
        </w:rPr>
        <w:t xml:space="preserve"> и </w:t>
      </w:r>
      <w:r w:rsidR="00361DFC" w:rsidRPr="007E7B0D">
        <w:rPr>
          <w:rStyle w:val="match"/>
          <w:rFonts w:ascii="Arial" w:hAnsi="Arial" w:cs="Arial"/>
          <w:color w:val="000000" w:themeColor="text1"/>
        </w:rPr>
        <w:t>застройки</w:t>
      </w:r>
      <w:r w:rsidRPr="007E7B0D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7E7B0D">
        <w:rPr>
          <w:rFonts w:ascii="Arial" w:hAnsi="Arial" w:cs="Arial"/>
          <w:color w:val="000000" w:themeColor="text1"/>
        </w:rPr>
        <w:t>«</w:t>
      </w:r>
      <w:proofErr w:type="spellStart"/>
      <w:r w:rsidR="004D5325" w:rsidRPr="007E7B0D">
        <w:rPr>
          <w:rFonts w:ascii="Arial" w:hAnsi="Arial" w:cs="Arial"/>
          <w:color w:val="000000" w:themeColor="text1"/>
        </w:rPr>
        <w:t>Исергаповское</w:t>
      </w:r>
      <w:proofErr w:type="spellEnd"/>
      <w:r w:rsidRPr="007E7B0D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7E7B0D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66667081" w14:textId="77777777" w:rsidR="00361DFC" w:rsidRPr="007E7B0D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E7B0D">
        <w:rPr>
          <w:rFonts w:ascii="Arial" w:hAnsi="Arial" w:cs="Arial"/>
          <w:color w:val="000000" w:themeColor="text1"/>
        </w:rPr>
        <w:t xml:space="preserve">- </w:t>
      </w:r>
      <w:r w:rsidR="00361DFC" w:rsidRPr="007E7B0D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4D5325" w:rsidRPr="007E7B0D">
        <w:rPr>
          <w:rFonts w:ascii="Arial" w:hAnsi="Arial" w:cs="Arial"/>
          <w:color w:val="000000" w:themeColor="text1"/>
        </w:rPr>
        <w:t>Исергаповского</w:t>
      </w:r>
      <w:proofErr w:type="spellEnd"/>
      <w:r w:rsidR="00FF19E6" w:rsidRPr="007E7B0D">
        <w:rPr>
          <w:rFonts w:ascii="Arial" w:hAnsi="Arial" w:cs="Arial"/>
          <w:color w:val="000000" w:themeColor="text1"/>
        </w:rPr>
        <w:t xml:space="preserve"> </w:t>
      </w:r>
      <w:r w:rsidRPr="007E7B0D">
        <w:rPr>
          <w:rFonts w:ascii="Arial" w:hAnsi="Arial" w:cs="Arial"/>
          <w:color w:val="000000" w:themeColor="text1"/>
        </w:rPr>
        <w:t>сельско</w:t>
      </w:r>
      <w:r w:rsidR="00FF19E6" w:rsidRPr="007E7B0D">
        <w:rPr>
          <w:rFonts w:ascii="Arial" w:hAnsi="Arial" w:cs="Arial"/>
          <w:color w:val="000000" w:themeColor="text1"/>
        </w:rPr>
        <w:t xml:space="preserve">го </w:t>
      </w:r>
      <w:r w:rsidRPr="007E7B0D">
        <w:rPr>
          <w:rFonts w:ascii="Arial" w:hAnsi="Arial" w:cs="Arial"/>
          <w:color w:val="000000" w:themeColor="text1"/>
        </w:rPr>
        <w:t>поселени</w:t>
      </w:r>
      <w:r w:rsidR="00FF19E6" w:rsidRPr="007E7B0D">
        <w:rPr>
          <w:rFonts w:ascii="Arial" w:hAnsi="Arial" w:cs="Arial"/>
          <w:color w:val="000000" w:themeColor="text1"/>
        </w:rPr>
        <w:t>я</w:t>
      </w:r>
      <w:r w:rsidRPr="007E7B0D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7E7B0D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02F6EFF1" w14:textId="77777777" w:rsidR="00B36196" w:rsidRPr="007E7B0D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7E7B0D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565F9351" w14:textId="77777777" w:rsidR="00F051F3" w:rsidRPr="007E7B0D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2BA36F0F" w14:textId="77777777" w:rsidR="00B36196" w:rsidRPr="007E7B0D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7E7B0D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7E7B0D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7E7B0D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7E7B0D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7E7B0D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37E85AC1" w14:textId="77777777" w:rsidR="00F051F3" w:rsidRPr="007E7B0D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7E7B0D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7E7B0D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67EE82D1" w14:textId="7E445144" w:rsidR="003D34F2" w:rsidRPr="007E7B0D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7E7B0D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441D6A8F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378DD999" w14:textId="77777777" w:rsidR="00B66A99" w:rsidRPr="007E7B0D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7E7B0D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57E1A0C4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05E16569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32FC1755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7E7B0D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7E7B0D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17D579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7E7B0D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09654246" w14:textId="77777777" w:rsidR="00D50EDF" w:rsidRPr="007E7B0D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0CAC3D91" w14:textId="77777777" w:rsidR="00D50EDF" w:rsidRPr="007E7B0D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46C297C0" w14:textId="77777777" w:rsidR="00D50EDF" w:rsidRPr="007E7B0D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7E7B0D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324483CE" w14:textId="77777777" w:rsidR="00C471EB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7E7B0D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098154A0" w14:textId="77777777" w:rsidR="003D34F2" w:rsidRPr="007E7B0D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7E7B0D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419828FC" w14:textId="77777777" w:rsidR="003D34F2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0569217E" w14:textId="77777777" w:rsidR="00F051F3" w:rsidRPr="007E7B0D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E7B0D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2D369F5D" w14:textId="77777777" w:rsidR="0055336D" w:rsidRPr="007E7B0D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7E7B0D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238C7C4B" w14:textId="77777777" w:rsidR="00AC59CD" w:rsidRPr="007E7B0D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lastRenderedPageBreak/>
        <w:t>установленными требованиями в случаях, предусмотренных Градостроительным кодексом Российской Федерации</w:t>
      </w:r>
      <w:r w:rsidR="00460772" w:rsidRPr="007E7B0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F8903FD" w14:textId="77777777" w:rsidR="004538FC" w:rsidRPr="007E7B0D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Исергаповского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7E7B0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6AEA56" w14:textId="77777777" w:rsidR="00A81346" w:rsidRPr="007E7B0D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7E7B0D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6EACAE85" w14:textId="77777777" w:rsidR="00A81346" w:rsidRPr="007E7B0D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71B016E1" w14:textId="77777777" w:rsidR="00A81346" w:rsidRPr="007E7B0D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0B6AAB9B" w14:textId="77777777" w:rsidR="0025464E" w:rsidRPr="007E7B0D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7E7B0D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16460226" w14:textId="77777777" w:rsidR="0025464E" w:rsidRPr="007E7B0D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16CD1F0F" w14:textId="77777777" w:rsidR="00785981" w:rsidRPr="007E7B0D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7E7B0D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562D3F37" w14:textId="77777777" w:rsidR="00785981" w:rsidRPr="007E7B0D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20DF06BC" w14:textId="77777777" w:rsidR="0025552E" w:rsidRPr="007E7B0D" w:rsidRDefault="003B767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="0025552E" w:rsidRPr="007E7B0D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7E7B0D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7E7B0D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7122766" w14:textId="77777777" w:rsidR="0025552E" w:rsidRPr="007E7B0D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7E7E4A5E" w14:textId="77777777" w:rsidR="00A25AD2" w:rsidRPr="007E7B0D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4DF801F1" w14:textId="77777777" w:rsidR="00A25AD2" w:rsidRPr="007E7B0D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3E6F55E4" w14:textId="77777777" w:rsidR="00546268" w:rsidRPr="007E7B0D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503ECF6A" w14:textId="77777777" w:rsidR="00D2436B" w:rsidRPr="007E7B0D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7E7B0D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7E7B0D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7E7B0D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14A7E935" w14:textId="77777777" w:rsidR="00E401D1" w:rsidRPr="007E7B0D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7E7B0D">
        <w:rPr>
          <w:rFonts w:ascii="Arial" w:hAnsi="Arial" w:cs="Arial"/>
          <w:color w:val="000000" w:themeColor="text1"/>
          <w:sz w:val="24"/>
          <w:szCs w:val="24"/>
        </w:rPr>
        <w:t>1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08AA459D" w14:textId="77777777" w:rsidR="00C3002F" w:rsidRPr="007E7B0D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7E7B0D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073D43B9" w14:textId="77777777" w:rsidR="00FB1E89" w:rsidRPr="007E7B0D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545BBFB6" w14:textId="77777777" w:rsidR="00DA4376" w:rsidRPr="007E7B0D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5ED68919" w14:textId="77777777" w:rsidR="00DA4376" w:rsidRPr="007E7B0D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7E7B0D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7E7B0D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7E7B0D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67567812" w14:textId="77777777" w:rsidR="00966FE1" w:rsidRPr="007E7B0D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7B492B45" w14:textId="77777777" w:rsidR="00966FE1" w:rsidRPr="007E7B0D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7E7B0D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410DE303" w14:textId="77777777" w:rsidR="00ED460A" w:rsidRPr="007E7B0D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4CCAC820" w14:textId="77777777" w:rsidR="006926EF" w:rsidRPr="007E7B0D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1A6C4BE5" w14:textId="77777777" w:rsidR="00DA3A10" w:rsidRPr="007E7B0D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47A8429E" w14:textId="77777777" w:rsidR="00DA3A10" w:rsidRPr="007E7B0D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1D108A9B" w14:textId="77777777" w:rsidR="00C3002F" w:rsidRPr="007E7B0D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lastRenderedPageBreak/>
        <w:t>первый абзац пункта 5 статьи 29 изложить в следующей редакции:</w:t>
      </w:r>
    </w:p>
    <w:p w14:paraId="1EA222AB" w14:textId="77777777" w:rsidR="00C3002F" w:rsidRPr="007E7B0D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7E7B0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D18C31A" w14:textId="77777777" w:rsidR="00785981" w:rsidRPr="007E7B0D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4A019323" w14:textId="77777777" w:rsidR="00785981" w:rsidRPr="007E7B0D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397685A0" w14:textId="77777777" w:rsidR="00785981" w:rsidRPr="007E7B0D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7E7B0D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7E7B0D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7E7B0D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7E7B0D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7E7B0D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12F111C9" w14:textId="77777777" w:rsidR="00226219" w:rsidRPr="007E7B0D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7E7B0D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7E7B0D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45440A82" w14:textId="77777777" w:rsidR="007D0333" w:rsidRPr="007E7B0D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7E7B0D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7E7B0D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7E7B0D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7E7B0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E5409CC" w14:textId="77777777" w:rsidR="00150F08" w:rsidRPr="007E7B0D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7E7B0D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7E7B0D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5908B884" w14:textId="77777777" w:rsidR="00150F08" w:rsidRPr="007E7B0D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3E9B7EE3" w14:textId="77777777" w:rsidR="00150F08" w:rsidRPr="007E7B0D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16 статьи 30 слова «Совета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6E5FA99F" w14:textId="77777777" w:rsidR="00CC2150" w:rsidRPr="007E7B0D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4D5325" w:rsidRPr="007E7B0D">
        <w:rPr>
          <w:rFonts w:ascii="Arial" w:hAnsi="Arial" w:cs="Arial"/>
          <w:color w:val="000000" w:themeColor="text1"/>
          <w:sz w:val="24"/>
          <w:szCs w:val="24"/>
        </w:rPr>
        <w:t>Исергаповское</w:t>
      </w:r>
      <w:proofErr w:type="spellEnd"/>
      <w:r w:rsidR="00DE16F2" w:rsidRPr="007E7B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7B0D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7E7B0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FB2CD3" w14:textId="77777777" w:rsidR="00C00ADC" w:rsidRPr="007E7B0D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4CF3826D" w14:textId="77777777" w:rsidR="00C00ADC" w:rsidRPr="007E7B0D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34DF7F64" w14:textId="02BF76E5" w:rsidR="001B3E7E" w:rsidRPr="007E7B0D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40E3CC" w14:textId="77777777" w:rsidR="00875222" w:rsidRPr="007E7B0D" w:rsidRDefault="0087522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26F977" w14:textId="77777777" w:rsidR="00C00ADC" w:rsidRPr="007E7B0D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5B3D37C6" w14:textId="77777777" w:rsidR="00C00ADC" w:rsidRPr="007E7B0D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56919659" w14:textId="77777777" w:rsidR="00C00ADC" w:rsidRPr="007E7B0D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E7B0D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                                                И.И. Гузаиров</w:t>
      </w:r>
    </w:p>
    <w:p w14:paraId="2A41B1FE" w14:textId="77777777" w:rsidR="001B3E7E" w:rsidRPr="007E7B0D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7E7B0D" w:rsidSect="007E7B0D">
      <w:pgSz w:w="11906" w:h="16838"/>
      <w:pgMar w:top="851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A7DF8"/>
    <w:rsid w:val="000C53DB"/>
    <w:rsid w:val="000E15C7"/>
    <w:rsid w:val="00134FED"/>
    <w:rsid w:val="00150F08"/>
    <w:rsid w:val="001606B5"/>
    <w:rsid w:val="001B39D8"/>
    <w:rsid w:val="001B3E7E"/>
    <w:rsid w:val="001E40A4"/>
    <w:rsid w:val="00211F13"/>
    <w:rsid w:val="00226219"/>
    <w:rsid w:val="0025464E"/>
    <w:rsid w:val="0025552E"/>
    <w:rsid w:val="002D2ADB"/>
    <w:rsid w:val="002E0E67"/>
    <w:rsid w:val="002F3C11"/>
    <w:rsid w:val="00320811"/>
    <w:rsid w:val="00361908"/>
    <w:rsid w:val="00361DFC"/>
    <w:rsid w:val="0037357D"/>
    <w:rsid w:val="003933CA"/>
    <w:rsid w:val="003B4195"/>
    <w:rsid w:val="003B767B"/>
    <w:rsid w:val="003D34F2"/>
    <w:rsid w:val="004538FC"/>
    <w:rsid w:val="00457B8F"/>
    <w:rsid w:val="00460772"/>
    <w:rsid w:val="0047161D"/>
    <w:rsid w:val="00491609"/>
    <w:rsid w:val="004D0D74"/>
    <w:rsid w:val="004D5325"/>
    <w:rsid w:val="004F3081"/>
    <w:rsid w:val="00527EF9"/>
    <w:rsid w:val="00530CF6"/>
    <w:rsid w:val="00546268"/>
    <w:rsid w:val="005471E0"/>
    <w:rsid w:val="0055336D"/>
    <w:rsid w:val="005558DE"/>
    <w:rsid w:val="005C3C65"/>
    <w:rsid w:val="00606B71"/>
    <w:rsid w:val="006926EF"/>
    <w:rsid w:val="006C1992"/>
    <w:rsid w:val="00746BC9"/>
    <w:rsid w:val="00785981"/>
    <w:rsid w:val="007A3D3A"/>
    <w:rsid w:val="007D0333"/>
    <w:rsid w:val="007E04E0"/>
    <w:rsid w:val="007E7B0D"/>
    <w:rsid w:val="007F2368"/>
    <w:rsid w:val="00875222"/>
    <w:rsid w:val="008A317F"/>
    <w:rsid w:val="008C10DD"/>
    <w:rsid w:val="008C4C73"/>
    <w:rsid w:val="008F04C6"/>
    <w:rsid w:val="00960CFD"/>
    <w:rsid w:val="00966FE1"/>
    <w:rsid w:val="009E72EF"/>
    <w:rsid w:val="00A25AD2"/>
    <w:rsid w:val="00A31180"/>
    <w:rsid w:val="00A76320"/>
    <w:rsid w:val="00A81346"/>
    <w:rsid w:val="00A964CA"/>
    <w:rsid w:val="00AC59CD"/>
    <w:rsid w:val="00AF244F"/>
    <w:rsid w:val="00AF5812"/>
    <w:rsid w:val="00B22571"/>
    <w:rsid w:val="00B36196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51AD6"/>
    <w:rsid w:val="00C70DF9"/>
    <w:rsid w:val="00C71A12"/>
    <w:rsid w:val="00CC2150"/>
    <w:rsid w:val="00D150A0"/>
    <w:rsid w:val="00D23CA5"/>
    <w:rsid w:val="00D2436B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401D1"/>
    <w:rsid w:val="00EB59EB"/>
    <w:rsid w:val="00ED460A"/>
    <w:rsid w:val="00ED7922"/>
    <w:rsid w:val="00EE220C"/>
    <w:rsid w:val="00F051F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1C70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8410567&amp;point=mark=000002D000002D21K7JT828KESMK3I0HG1Q3F7U1O014OCGHG21K7JT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dcterms:created xsi:type="dcterms:W3CDTF">2023-09-04T08:35:00Z</dcterms:created>
  <dcterms:modified xsi:type="dcterms:W3CDTF">2023-09-04T08:35:00Z</dcterms:modified>
</cp:coreProperties>
</file>