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AC30CA">
                    <w:rPr>
                      <w:lang w:val="tt-RU"/>
                    </w:rPr>
                    <w:t>______</w:t>
                  </w:r>
                  <w:r w:rsidR="00E50B70">
                    <w:rPr>
                      <w:lang w:val="tt-RU"/>
                    </w:rPr>
                    <w:t xml:space="preserve">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C92A66">
                    <w:t xml:space="preserve">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AC30CA">
                    <w:t xml:space="preserve">     №__</w:t>
                  </w:r>
                </w:p>
                <w:p w:rsidR="001F54B7" w:rsidRPr="001A0456" w:rsidRDefault="001F54B7" w:rsidP="007A4ACE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0E5287" w:rsidRPr="000E5287" w:rsidRDefault="000E5287" w:rsidP="000E5287">
      <w:pPr>
        <w:autoSpaceDE w:val="0"/>
        <w:autoSpaceDN w:val="0"/>
        <w:adjustRightInd w:val="0"/>
        <w:ind w:right="5102"/>
        <w:jc w:val="both"/>
        <w:rPr>
          <w:rFonts w:eastAsia="Calibri"/>
          <w:lang w:eastAsia="en-US"/>
        </w:rPr>
      </w:pPr>
      <w:bookmarkStart w:id="0" w:name="_GoBack"/>
      <w:r w:rsidRPr="000E5287">
        <w:rPr>
          <w:rFonts w:eastAsia="Calibri"/>
          <w:bCs/>
          <w:lang w:eastAsia="en-US"/>
        </w:rPr>
        <w:t>О внесении изменений в решение Совета Тумбарлинского</w:t>
      </w:r>
      <w:r>
        <w:rPr>
          <w:rFonts w:eastAsia="Calibri"/>
          <w:bCs/>
          <w:lang w:eastAsia="en-US"/>
        </w:rPr>
        <w:t xml:space="preserve"> сельского поселения от 10.04.2018 №62</w:t>
      </w:r>
      <w:r w:rsidRPr="000E5287">
        <w:rPr>
          <w:rFonts w:eastAsia="Calibri"/>
          <w:bCs/>
          <w:lang w:eastAsia="en-US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eastAsia="Calibri"/>
          <w:lang w:eastAsia="en-US"/>
        </w:rPr>
        <w:t xml:space="preserve"> </w:t>
      </w:r>
      <w:r w:rsidRPr="000E5287">
        <w:rPr>
          <w:rFonts w:eastAsia="Calibri"/>
          <w:lang w:eastAsia="en-US"/>
        </w:rPr>
        <w:t>Тумбарлинского сельского поселения Бавлинского муниципального района»</w:t>
      </w:r>
    </w:p>
    <w:bookmarkEnd w:id="0"/>
    <w:p w:rsidR="000E5287" w:rsidRPr="000E5287" w:rsidRDefault="000E5287" w:rsidP="000E5287">
      <w:pPr>
        <w:ind w:firstLine="709"/>
        <w:jc w:val="both"/>
        <w:rPr>
          <w:rFonts w:eastAsia="Calibri"/>
          <w:lang w:eastAsia="en-US"/>
        </w:rPr>
      </w:pPr>
    </w:p>
    <w:p w:rsidR="000E5287" w:rsidRPr="000E5287" w:rsidRDefault="000E5287" w:rsidP="000E5287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proofErr w:type="gramStart"/>
      <w:r w:rsidRPr="000E5287">
        <w:rPr>
          <w:rFonts w:eastAsia="Calibri"/>
          <w:lang w:eastAsia="en-US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0E5287">
        <w:rPr>
          <w:rFonts w:eastAsia="Calibri"/>
          <w:lang w:eastAsia="en-US"/>
        </w:rPr>
        <w:t xml:space="preserve"> </w:t>
      </w:r>
      <w:proofErr w:type="gramStart"/>
      <w:r w:rsidRPr="000E5287">
        <w:rPr>
          <w:rFonts w:eastAsia="Calibri"/>
          <w:lang w:eastAsia="en-US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>
        <w:rPr>
          <w:rFonts w:eastAsia="Calibri"/>
          <w:lang w:eastAsia="en-US"/>
        </w:rPr>
        <w:t xml:space="preserve"> Совет </w:t>
      </w:r>
      <w:r w:rsidRPr="000E5287">
        <w:rPr>
          <w:rFonts w:eastAsia="Calibri"/>
          <w:lang w:eastAsia="en-US"/>
        </w:rPr>
        <w:t>Тумбарлинского сельского поселения РЕШИЛ:</w:t>
      </w:r>
      <w:proofErr w:type="gramEnd"/>
    </w:p>
    <w:p w:rsidR="000E5287" w:rsidRPr="000E5287" w:rsidRDefault="000E5287" w:rsidP="00665A11">
      <w:pPr>
        <w:spacing w:line="360" w:lineRule="auto"/>
        <w:ind w:firstLine="709"/>
        <w:contextualSpacing/>
        <w:jc w:val="both"/>
        <w:rPr>
          <w:rFonts w:eastAsia="Calibri"/>
          <w:color w:val="000000"/>
          <w:highlight w:val="yellow"/>
          <w:lang w:eastAsia="en-US"/>
        </w:rPr>
      </w:pPr>
      <w:r w:rsidRPr="000E5287">
        <w:rPr>
          <w:rFonts w:eastAsia="Calibri"/>
          <w:color w:val="000000"/>
          <w:lang w:eastAsia="en-US"/>
        </w:rPr>
        <w:lastRenderedPageBreak/>
        <w:t xml:space="preserve">1. </w:t>
      </w:r>
      <w:proofErr w:type="gramStart"/>
      <w:r w:rsidRPr="000E5287">
        <w:rPr>
          <w:rFonts w:eastAsia="Calibri"/>
          <w:color w:val="000000"/>
          <w:lang w:eastAsia="en-US"/>
        </w:rPr>
        <w:t xml:space="preserve">Внести в </w:t>
      </w:r>
      <w:r w:rsidRPr="000E5287">
        <w:rPr>
          <w:rFonts w:eastAsia="Calibri"/>
          <w:bCs/>
          <w:lang w:eastAsia="en-US"/>
        </w:rPr>
        <w:t>решение Совета Тумбарли</w:t>
      </w:r>
      <w:r>
        <w:rPr>
          <w:rFonts w:eastAsia="Calibri"/>
          <w:bCs/>
          <w:lang w:eastAsia="en-US"/>
        </w:rPr>
        <w:t>нского сельского поселения от 10</w:t>
      </w:r>
      <w:r w:rsidRPr="000E5287">
        <w:rPr>
          <w:rFonts w:eastAsia="Calibri"/>
          <w:bCs/>
          <w:lang w:eastAsia="en-US"/>
        </w:rPr>
        <w:t>.04.201</w:t>
      </w:r>
      <w:r>
        <w:rPr>
          <w:rFonts w:eastAsia="Calibri"/>
          <w:bCs/>
          <w:lang w:eastAsia="en-US"/>
        </w:rPr>
        <w:t>8 №62</w:t>
      </w:r>
      <w:r w:rsidRPr="000E5287">
        <w:rPr>
          <w:rFonts w:eastAsia="Calibri"/>
          <w:bCs/>
          <w:lang w:eastAsia="en-US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eastAsia="Calibri"/>
          <w:lang w:eastAsia="en-US"/>
        </w:rPr>
        <w:t xml:space="preserve"> </w:t>
      </w:r>
      <w:r w:rsidRPr="000E5287">
        <w:rPr>
          <w:rFonts w:eastAsia="Calibri"/>
          <w:lang w:eastAsia="en-US"/>
        </w:rPr>
        <w:t>Тумбарлинского сельского поселения Бавлинского муниципального района»</w:t>
      </w:r>
      <w:r w:rsidRPr="000E5287">
        <w:rPr>
          <w:rFonts w:eastAsia="Calibri"/>
          <w:color w:val="000000"/>
          <w:lang w:eastAsia="en-US"/>
        </w:rPr>
        <w:t xml:space="preserve"> (с изменениями от</w:t>
      </w:r>
      <w:r w:rsidR="00665A11" w:rsidRPr="00665A11">
        <w:rPr>
          <w:rFonts w:eastAsia="Calibri"/>
          <w:color w:val="000000"/>
          <w:lang w:eastAsia="en-US"/>
        </w:rPr>
        <w:t xml:space="preserve"> </w:t>
      </w:r>
      <w:r w:rsidRPr="000E5287">
        <w:rPr>
          <w:rFonts w:eastAsia="Calibri"/>
          <w:color w:val="000000"/>
          <w:lang w:eastAsia="en-US"/>
        </w:rPr>
        <w:t xml:space="preserve"> </w:t>
      </w:r>
      <w:r w:rsidR="00665A11" w:rsidRPr="00665A11">
        <w:rPr>
          <w:rFonts w:eastAsia="Calibri"/>
          <w:color w:val="000000"/>
          <w:lang w:eastAsia="en-US"/>
        </w:rPr>
        <w:t xml:space="preserve">15.05.2018 №63, от 15.10.2018 №79, от 14.11.2018 №87, от 07.09.2020 №139, </w:t>
      </w:r>
      <w:r w:rsidR="00665A11">
        <w:rPr>
          <w:rFonts w:eastAsia="Calibri"/>
          <w:color w:val="000000"/>
          <w:lang w:eastAsia="en-US"/>
        </w:rPr>
        <w:t xml:space="preserve">от </w:t>
      </w:r>
      <w:r w:rsidR="006512CF">
        <w:rPr>
          <w:rFonts w:eastAsia="Calibri"/>
          <w:color w:val="000000"/>
          <w:lang w:eastAsia="en-US"/>
        </w:rPr>
        <w:t>07.12.2021 №34, от 27.09.2022 №54</w:t>
      </w:r>
      <w:r w:rsidRPr="000E5287">
        <w:rPr>
          <w:rFonts w:eastAsia="Calibri"/>
          <w:color w:val="000000"/>
          <w:lang w:eastAsia="en-US"/>
        </w:rPr>
        <w:t>) следующие изменения:</w:t>
      </w:r>
      <w:proofErr w:type="gramEnd"/>
    </w:p>
    <w:p w:rsidR="000E5287" w:rsidRPr="000E5287" w:rsidRDefault="000E5287" w:rsidP="000E5287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>абзац 4 пункта 1 изложить в следующей редакции: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</w:t>
      </w:r>
      <w:proofErr w:type="gramStart"/>
      <w:r w:rsidRPr="000E5287">
        <w:rPr>
          <w:rFonts w:eastAsia="Calibri"/>
          <w:lang w:eastAsia="en-US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0E528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Тумбарлинского сельского поселения,</w:t>
      </w:r>
      <w:r w:rsidRPr="000E5287">
        <w:rPr>
          <w:rFonts w:eastAsia="Calibri"/>
          <w:lang w:eastAsia="en-US"/>
        </w:rPr>
        <w:t xml:space="preserve"> на которые не распространяется Единая тарифная сетка по оплате труда работников бюджетной сферы, который составляет 12 688 рублей.»;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в подпункте 3 пункта 3 слова «двух процентов» заменить словами 15 процентов»;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в пункте 4 слова «в размере до 50 процентов» заменить словами «в размере 50 процентов»;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в пункте 5: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 xml:space="preserve">подпункт 5 изложить в следующей редакции: 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0E5287" w:rsidRPr="000E5287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0E5287" w:rsidRPr="000E5287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>за работу в праздничные и выходные дни - в размере двойной дневной тарифной ставки;</w:t>
      </w:r>
    </w:p>
    <w:p w:rsidR="000E5287" w:rsidRPr="000E5287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0E5287" w:rsidRPr="000E5287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lang w:eastAsia="en-US"/>
        </w:rPr>
      </w:pPr>
      <w:r w:rsidRPr="000E5287">
        <w:rPr>
          <w:lang w:eastAsia="en-US"/>
        </w:rPr>
        <w:t>в подпункте 4 пункта 7 слова «двух процентов» заменить словами 15 процентов».</w:t>
      </w:r>
    </w:p>
    <w:p w:rsidR="000E5287" w:rsidRPr="000E5287" w:rsidRDefault="000E5287" w:rsidP="000E528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eastAsia="Calibri"/>
          <w:lang w:eastAsia="en-US"/>
        </w:rPr>
      </w:pPr>
      <w:r w:rsidRPr="000E5287">
        <w:rPr>
          <w:rFonts w:eastAsia="Calibri"/>
          <w:lang w:eastAsia="en-US"/>
        </w:rPr>
        <w:t xml:space="preserve">2. Опубликовать настоящее решение на официальном портале правовой информации Республики </w:t>
      </w:r>
      <w:r w:rsidRPr="000E5287">
        <w:rPr>
          <w:rFonts w:eastAsia="Calibri"/>
          <w:color w:val="000000"/>
          <w:lang w:eastAsia="en-US"/>
        </w:rPr>
        <w:t>Татарстан по адресу: (</w:t>
      </w:r>
      <w:hyperlink r:id="rId9" w:history="1">
        <w:r w:rsidRPr="000E5287">
          <w:rPr>
            <w:rFonts w:eastAsia="Calibri"/>
            <w:color w:val="000000"/>
            <w:u w:val="single"/>
            <w:lang w:val="en-US" w:eastAsia="en-US"/>
          </w:rPr>
          <w:t>http</w:t>
        </w:r>
        <w:r w:rsidRPr="000E5287">
          <w:rPr>
            <w:rFonts w:eastAsia="Calibri"/>
            <w:color w:val="000000"/>
            <w:u w:val="single"/>
            <w:lang w:eastAsia="en-US"/>
          </w:rPr>
          <w:t>://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www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pravo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tatarstan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ru</w:t>
        </w:r>
      </w:hyperlink>
      <w:r w:rsidRPr="000E5287">
        <w:rPr>
          <w:rFonts w:eastAsia="Calibri"/>
          <w:color w:val="000000"/>
          <w:lang w:eastAsia="en-US"/>
        </w:rPr>
        <w:t>) и на сайте Бавлинского муниципального района (</w:t>
      </w:r>
      <w:hyperlink r:id="rId10" w:history="1">
        <w:r w:rsidRPr="000E5287">
          <w:rPr>
            <w:rFonts w:eastAsia="Calibri"/>
            <w:color w:val="000000"/>
            <w:u w:val="single"/>
            <w:lang w:val="en-US" w:eastAsia="en-US"/>
          </w:rPr>
          <w:t>http</w:t>
        </w:r>
        <w:r w:rsidRPr="000E5287">
          <w:rPr>
            <w:rFonts w:eastAsia="Calibri"/>
            <w:color w:val="000000"/>
            <w:u w:val="single"/>
            <w:lang w:eastAsia="en-US"/>
          </w:rPr>
          <w:t>://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www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bavly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tatarstan</w:t>
        </w:r>
        <w:r w:rsidRPr="000E5287">
          <w:rPr>
            <w:rFonts w:eastAsia="Calibri"/>
            <w:color w:val="000000"/>
            <w:u w:val="single"/>
            <w:lang w:eastAsia="en-US"/>
          </w:rPr>
          <w:t>.</w:t>
        </w:r>
        <w:r w:rsidRPr="000E5287">
          <w:rPr>
            <w:rFonts w:eastAsia="Calibri"/>
            <w:color w:val="000000"/>
            <w:u w:val="single"/>
            <w:lang w:val="en-US" w:eastAsia="en-US"/>
          </w:rPr>
          <w:t>ru</w:t>
        </w:r>
      </w:hyperlink>
      <w:r w:rsidRPr="000E5287">
        <w:rPr>
          <w:rFonts w:eastAsia="Calibri"/>
          <w:color w:val="000000"/>
          <w:lang w:eastAsia="en-US"/>
        </w:rPr>
        <w:t>)</w:t>
      </w:r>
      <w:r w:rsidRPr="000E5287">
        <w:rPr>
          <w:rFonts w:eastAsia="Calibri"/>
          <w:lang w:eastAsia="en-US"/>
        </w:rPr>
        <w:t>.</w:t>
      </w:r>
    </w:p>
    <w:p w:rsidR="000E5287" w:rsidRPr="000E5287" w:rsidRDefault="000E5287" w:rsidP="000E5287">
      <w:pPr>
        <w:spacing w:line="360" w:lineRule="auto"/>
        <w:ind w:firstLine="709"/>
        <w:contextualSpacing/>
        <w:jc w:val="both"/>
        <w:rPr>
          <w:rFonts w:eastAsia="Calibri"/>
          <w:color w:val="000080"/>
          <w:lang w:eastAsia="en-US"/>
        </w:rPr>
      </w:pPr>
      <w:r w:rsidRPr="000E5287">
        <w:rPr>
          <w:rFonts w:eastAsia="Calibri"/>
          <w:lang w:eastAsia="en-US"/>
        </w:rPr>
        <w:t>3. Установить, что настоящее решение вступает в силу с 1 января 2023 года.</w:t>
      </w:r>
    </w:p>
    <w:p w:rsidR="000E5287" w:rsidRPr="000E5287" w:rsidRDefault="000E5287" w:rsidP="000E5287">
      <w:pPr>
        <w:autoSpaceDE w:val="0"/>
        <w:autoSpaceDN w:val="0"/>
        <w:adjustRightInd w:val="0"/>
        <w:spacing w:after="200" w:line="360" w:lineRule="auto"/>
        <w:ind w:right="5671"/>
        <w:rPr>
          <w:rFonts w:eastAsia="Calibri"/>
          <w:lang w:eastAsia="en-US"/>
        </w:rPr>
      </w:pPr>
    </w:p>
    <w:p w:rsidR="000E5287" w:rsidRPr="000E5287" w:rsidRDefault="000E5287" w:rsidP="000E5287">
      <w:pPr>
        <w:autoSpaceDE w:val="0"/>
        <w:autoSpaceDN w:val="0"/>
        <w:adjustRightInd w:val="0"/>
        <w:spacing w:after="200" w:line="360" w:lineRule="auto"/>
        <w:ind w:right="5671"/>
        <w:rPr>
          <w:rFonts w:eastAsia="Calibri"/>
          <w:lang w:eastAsia="en-US"/>
        </w:rPr>
      </w:pPr>
    </w:p>
    <w:p w:rsidR="00C92A66" w:rsidRPr="00B050B1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D1E50" w:rsidRPr="00AD1E50" w:rsidRDefault="00C92A66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</w:t>
      </w:r>
      <w:r w:rsidR="00AD1E50" w:rsidRPr="00AD1E50">
        <w:t>Глава, Председатель</w:t>
      </w:r>
    </w:p>
    <w:p w:rsidR="000128DE" w:rsidRDefault="00C92A66" w:rsidP="00F443AC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D1E50" w:rsidRPr="00AD1E50">
        <w:t xml:space="preserve">Совета </w:t>
      </w:r>
      <w:r>
        <w:t xml:space="preserve">Тумбарлинского </w:t>
      </w:r>
      <w:r w:rsidR="00AD1E50" w:rsidRPr="00AD1E50">
        <w:t>сельского поселения</w:t>
      </w:r>
      <w:r>
        <w:t xml:space="preserve">            </w:t>
      </w:r>
      <w:r w:rsidR="00AD1E50">
        <w:t xml:space="preserve">     </w:t>
      </w:r>
      <w:r w:rsidR="00AD1E50" w:rsidRPr="00AD1E50">
        <w:t xml:space="preserve">  Э.И. </w:t>
      </w:r>
      <w:r w:rsidR="00F443AC">
        <w:t>Ямалетдинов</w:t>
      </w:r>
    </w:p>
    <w:sectPr w:rsidR="000128DE" w:rsidSect="001165DE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07" w:rsidRDefault="008E6E07">
      <w:r>
        <w:separator/>
      </w:r>
    </w:p>
  </w:endnote>
  <w:endnote w:type="continuationSeparator" w:id="0">
    <w:p w:rsidR="008E6E07" w:rsidRDefault="008E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07" w:rsidRDefault="008E6E07">
      <w:r>
        <w:separator/>
      </w:r>
    </w:p>
  </w:footnote>
  <w:footnote w:type="continuationSeparator" w:id="0">
    <w:p w:rsidR="008E6E07" w:rsidRDefault="008E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C02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8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1">
      <w:startOverride w:val="3"/>
    </w:lvlOverride>
  </w:num>
  <w:num w:numId="11">
    <w:abstractNumId w:val="27"/>
    <w:lvlOverride w:ilvl="1">
      <w:startOverride w:val="3"/>
    </w:lvlOverride>
  </w:num>
  <w:num w:numId="12">
    <w:abstractNumId w:val="27"/>
    <w:lvlOverride w:ilvl="1">
      <w:startOverride w:val="3"/>
    </w:lvlOverride>
  </w:num>
  <w:num w:numId="13">
    <w:abstractNumId w:val="27"/>
    <w:lvlOverride w:ilvl="1">
      <w:startOverride w:val="3"/>
    </w:lvlOverride>
  </w:num>
  <w:num w:numId="14">
    <w:abstractNumId w:val="27"/>
    <w:lvlOverride w:ilvl="1">
      <w:startOverride w:val="3"/>
    </w:lvlOverride>
  </w:num>
  <w:num w:numId="15">
    <w:abstractNumId w:val="16"/>
    <w:lvlOverride w:ilvl="0">
      <w:startOverride w:val="4"/>
    </w:lvlOverride>
  </w:num>
  <w:num w:numId="16">
    <w:abstractNumId w:val="6"/>
    <w:lvlOverride w:ilvl="0">
      <w:startOverride w:val="5"/>
    </w:lvlOverride>
  </w:num>
  <w:num w:numId="17">
    <w:abstractNumId w:val="14"/>
  </w:num>
  <w:num w:numId="18">
    <w:abstractNumId w:val="26"/>
  </w:num>
  <w:num w:numId="19">
    <w:abstractNumId w:val="10"/>
  </w:num>
  <w:num w:numId="20">
    <w:abstractNumId w:val="7"/>
  </w:num>
  <w:num w:numId="21">
    <w:abstractNumId w:val="25"/>
  </w:num>
  <w:num w:numId="22">
    <w:abstractNumId w:val="15"/>
  </w:num>
  <w:num w:numId="23">
    <w:abstractNumId w:val="13"/>
  </w:num>
  <w:num w:numId="24">
    <w:abstractNumId w:val="31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 w:numId="29">
    <w:abstractNumId w:val="8"/>
  </w:num>
  <w:num w:numId="30">
    <w:abstractNumId w:val="24"/>
  </w:num>
  <w:num w:numId="31">
    <w:abstractNumId w:val="4"/>
  </w:num>
  <w:num w:numId="32">
    <w:abstractNumId w:val="18"/>
  </w:num>
  <w:num w:numId="33">
    <w:abstractNumId w:val="19"/>
  </w:num>
  <w:num w:numId="34">
    <w:abstractNumId w:val="29"/>
  </w:num>
  <w:num w:numId="35">
    <w:abstractNumId w:val="23"/>
  </w:num>
  <w:num w:numId="36">
    <w:abstractNumId w:val="1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28DE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08A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9A0"/>
    <w:rsid w:val="000E1AAE"/>
    <w:rsid w:val="000E2A2F"/>
    <w:rsid w:val="000E5287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6092B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26B2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5F7A3E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12CF"/>
    <w:rsid w:val="00654BD7"/>
    <w:rsid w:val="00655762"/>
    <w:rsid w:val="006569E9"/>
    <w:rsid w:val="006618BB"/>
    <w:rsid w:val="00662C7E"/>
    <w:rsid w:val="006648DE"/>
    <w:rsid w:val="00664B97"/>
    <w:rsid w:val="00665A11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076F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E6E07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C2D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1C02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3AC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C2CA-9794-4967-8E32-DAB388C9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4054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2022-12-21T08:39:00Z</dcterms:created>
  <dcterms:modified xsi:type="dcterms:W3CDTF">2022-12-21T08:39:00Z</dcterms:modified>
</cp:coreProperties>
</file>