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 xml:space="preserve">____________                  </w:t>
            </w:r>
            <w:proofErr w:type="spellStart"/>
            <w:r w:rsidR="00600975">
              <w:t>г.Бавлы</w:t>
            </w:r>
            <w:proofErr w:type="spellEnd"/>
            <w:r w:rsidR="00600975">
              <w:t xml:space="preserve">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02A16" w:rsidRDefault="00102A16" w:rsidP="0006465B">
            <w:pPr>
              <w:ind w:right="4535"/>
              <w:rPr>
                <w:bCs/>
              </w:rPr>
            </w:pPr>
          </w:p>
          <w:p w:rsidR="00102A16" w:rsidRDefault="00102A16" w:rsidP="0006465B">
            <w:pPr>
              <w:ind w:right="4535"/>
              <w:rPr>
                <w:bCs/>
              </w:rPr>
            </w:pPr>
          </w:p>
          <w:p w:rsidR="00C75BF7" w:rsidRDefault="00C75BF7" w:rsidP="0006465B">
            <w:pPr>
              <w:ind w:right="4535"/>
              <w:rPr>
                <w:bCs/>
              </w:rPr>
            </w:pPr>
          </w:p>
          <w:p w:rsidR="00C75BF7" w:rsidRPr="00C75BF7" w:rsidRDefault="00C75BF7" w:rsidP="0070124B">
            <w:pPr>
              <w:ind w:right="4569"/>
              <w:rPr>
                <w:bCs/>
              </w:rPr>
            </w:pPr>
            <w:r w:rsidRPr="00C75BF7">
              <w:rPr>
                <w:bCs/>
              </w:rPr>
              <w:t>О внесении изменений в решение</w:t>
            </w:r>
          </w:p>
          <w:p w:rsidR="00C75BF7" w:rsidRPr="00C75BF7" w:rsidRDefault="008F1572" w:rsidP="0070124B">
            <w:pPr>
              <w:ind w:right="4569"/>
              <w:rPr>
                <w:bCs/>
              </w:rPr>
            </w:pPr>
            <w:r>
              <w:rPr>
                <w:bCs/>
              </w:rPr>
              <w:t>Бавлинского городского Совета</w:t>
            </w:r>
            <w:r w:rsidR="00C75BF7" w:rsidRPr="00C75BF7">
              <w:rPr>
                <w:bCs/>
              </w:rPr>
              <w:t xml:space="preserve"> </w:t>
            </w:r>
          </w:p>
          <w:p w:rsidR="00C75BF7" w:rsidRPr="00C75BF7" w:rsidRDefault="008F1572" w:rsidP="0070124B">
            <w:pPr>
              <w:ind w:right="4569"/>
              <w:rPr>
                <w:rFonts w:ascii="Arial" w:hAnsi="Arial" w:cs="Arial"/>
              </w:rPr>
            </w:pPr>
            <w:r>
              <w:rPr>
                <w:bCs/>
              </w:rPr>
              <w:t>от 20.04.2018 № 73</w:t>
            </w:r>
            <w:r w:rsidR="00C75BF7" w:rsidRPr="00C75BF7">
              <w:rPr>
                <w:bCs/>
              </w:rPr>
      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</w:t>
            </w:r>
            <w:r>
              <w:rPr>
                <w:bCs/>
              </w:rPr>
              <w:t xml:space="preserve">уда работников бюджетной сферы </w:t>
            </w:r>
            <w:proofErr w:type="spellStart"/>
            <w:proofErr w:type="gramStart"/>
            <w:r>
              <w:rPr>
                <w:bCs/>
              </w:rPr>
              <w:t>муни</w:t>
            </w:r>
            <w:r w:rsidR="0070124B">
              <w:rPr>
                <w:bCs/>
              </w:rPr>
              <w:t>-</w:t>
            </w:r>
            <w:r>
              <w:rPr>
                <w:bCs/>
              </w:rPr>
              <w:t>ципального</w:t>
            </w:r>
            <w:proofErr w:type="spellEnd"/>
            <w:proofErr w:type="gramEnd"/>
            <w:r>
              <w:rPr>
                <w:bCs/>
              </w:rPr>
              <w:t xml:space="preserve"> образования «город Бавлы» Бавлинского муниципального района</w:t>
            </w:r>
            <w:r w:rsidR="00C75BF7" w:rsidRPr="00C75BF7">
              <w:rPr>
                <w:bCs/>
              </w:rPr>
              <w:t>»</w:t>
            </w:r>
          </w:p>
          <w:p w:rsidR="00C75BF7" w:rsidRPr="00C75BF7" w:rsidRDefault="00C75BF7" w:rsidP="00C75BF7"/>
          <w:p w:rsidR="00C75BF7" w:rsidRPr="00C75BF7" w:rsidRDefault="00C75BF7" w:rsidP="00C75BF7"/>
          <w:p w:rsidR="00C75BF7" w:rsidRPr="00C75BF7" w:rsidRDefault="00C75BF7" w:rsidP="00C75BF7">
            <w:pPr>
              <w:spacing w:line="360" w:lineRule="auto"/>
              <w:ind w:firstLine="709"/>
              <w:jc w:val="both"/>
            </w:pPr>
            <w:r w:rsidRPr="00C75BF7">
              <w:t>В соответствии с Постановлением Кабинета Министров  Респу</w:t>
            </w:r>
            <w:r w:rsidR="00761A6B">
              <w:t xml:space="preserve">блики Татарстан </w:t>
            </w:r>
            <w:r w:rsidR="00A961D1" w:rsidRPr="00220D09">
              <w:t xml:space="preserve">от </w:t>
            </w:r>
            <w:r w:rsidR="00A961D1">
              <w:t>07.12</w:t>
            </w:r>
            <w:r w:rsidR="00A961D1" w:rsidRPr="00220D09">
              <w:t>.2021 №1</w:t>
            </w:r>
            <w:r w:rsidR="00A961D1">
              <w:t>189</w:t>
            </w:r>
            <w:r w:rsidR="00A961D1" w:rsidRPr="00220D09">
              <w:t xml:space="preserve"> </w:t>
            </w:r>
            <w:r w:rsidR="00A961D1">
              <w:t>«</w:t>
            </w:r>
            <w:r w:rsidR="00A961D1" w:rsidRPr="00220D09">
              <w:t>О внесении изменений</w:t>
            </w:r>
            <w:r w:rsidR="00A961D1">
              <w:t xml:space="preserve"> в отдельные постановления Кабинета Министров Республики Татарстан</w:t>
            </w:r>
            <w:r w:rsidR="00A961D1" w:rsidRPr="00220D09">
              <w:t>»</w:t>
            </w:r>
            <w:r w:rsidR="00A961D1">
              <w:t xml:space="preserve"> </w:t>
            </w:r>
            <w:r w:rsidR="0071324E">
              <w:t xml:space="preserve">Бавлинский городской Совет </w:t>
            </w:r>
            <w:r w:rsidRPr="00C75BF7">
              <w:t>РЕШИЛ:</w:t>
            </w:r>
          </w:p>
          <w:p w:rsidR="00C75BF7" w:rsidRPr="00C75BF7" w:rsidRDefault="0071324E" w:rsidP="00C75BF7">
            <w:pPr>
              <w:spacing w:line="360" w:lineRule="auto"/>
              <w:ind w:firstLine="709"/>
              <w:jc w:val="both"/>
              <w:rPr>
                <w:color w:val="000000"/>
              </w:rPr>
            </w:pPr>
            <w:bookmarkStart w:id="1" w:name="sub_100"/>
            <w:r>
              <w:rPr>
                <w:color w:val="000000"/>
              </w:rPr>
              <w:t xml:space="preserve">Внести в решение </w:t>
            </w:r>
            <w:r w:rsidR="00C75BF7" w:rsidRPr="00C75BF7">
              <w:rPr>
                <w:color w:val="000000"/>
              </w:rPr>
              <w:t xml:space="preserve">Бавлинского </w:t>
            </w:r>
            <w:r>
              <w:rPr>
                <w:color w:val="000000"/>
              </w:rPr>
              <w:t xml:space="preserve">городского Совета от 20.04.2018 №73 </w:t>
            </w:r>
            <w:r w:rsidR="00C75BF7" w:rsidRPr="00C75BF7">
              <w:rPr>
                <w:color w:val="000000"/>
              </w:rPr>
              <w:t>«</w:t>
            </w:r>
            <w:r w:rsidR="00C75BF7" w:rsidRPr="00C75BF7">
              <w:rPr>
                <w:bCs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>
              <w:t xml:space="preserve"> </w:t>
            </w:r>
            <w:r w:rsidRPr="0071324E">
              <w:rPr>
                <w:bCs/>
              </w:rPr>
              <w:t>муниципального образования «город Бавлы» Бавлинского муниципального района</w:t>
            </w:r>
            <w:r w:rsidR="00C75BF7" w:rsidRPr="00C75BF7">
              <w:rPr>
                <w:color w:val="000000"/>
              </w:rPr>
              <w:t>» (</w:t>
            </w:r>
            <w:r>
              <w:rPr>
                <w:color w:val="000000"/>
              </w:rPr>
              <w:t>с изменениями от 28.09.2018 №90</w:t>
            </w:r>
            <w:r w:rsidR="00A961D1">
              <w:rPr>
                <w:color w:val="000000"/>
              </w:rPr>
              <w:t>, от 28.08.2020 №140</w:t>
            </w:r>
            <w:r w:rsidR="00C75BF7" w:rsidRPr="00C75BF7">
              <w:rPr>
                <w:color w:val="000000"/>
              </w:rPr>
              <w:t>) следующие изменения:</w:t>
            </w:r>
          </w:p>
          <w:bookmarkEnd w:id="1"/>
          <w:p w:rsidR="00A961D1" w:rsidRPr="00A961D1" w:rsidRDefault="00A961D1" w:rsidP="00A961D1">
            <w:pPr>
              <w:pStyle w:val="21"/>
              <w:shd w:val="clear" w:color="auto" w:fill="auto"/>
              <w:tabs>
                <w:tab w:val="left" w:pos="567"/>
              </w:tabs>
              <w:spacing w:line="360" w:lineRule="auto"/>
              <w:ind w:left="567" w:right="40" w:firstLine="142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в пункте 1: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в абзаце третьем слова «компенсационных выплат</w:t>
            </w:r>
            <w:proofErr w:type="gramStart"/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,»</w:t>
            </w:r>
            <w:proofErr w:type="gramEnd"/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 xml:space="preserve"> исключить; 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 xml:space="preserve">в абзаце пятом слова «и компенсационных выплат» исключить; 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в пункте 5: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lastRenderedPageBreak/>
              <w:t>в подпункте 1 цифры «50» заменить цифрой «8»;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в подпункте 3 слова «двух месячных тарифных ставок с учетом премии в раз</w:t>
            </w: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softHyphen/>
              <w:t xml:space="preserve">мере 25 процентов месячной тарифной ставки» заменить словами «одной месячной тарифной ставки»; 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в подпункте 4: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 xml:space="preserve">в абзаце втором цифры «25» заменить цифрой «5»; 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 xml:space="preserve">в абзаце третьем цифры «10» заменить цифрой «2»; 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в подпункте 5: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 xml:space="preserve">в абзаце втором цифры «35» заменить цифрой «7»; 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 xml:space="preserve">в абзаце четвертом цифры «50» заменить цифрами «10»; 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в пункте 8: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в абзаце первом слова «(с учетом компенсационных выплат)» исключить;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в подпункте 2 слова «девяти месячных тарифных ставок» заменить словами «одной целой восемь десятых месячной тарифной ставки»;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в подпункте 3 слова «трех месячных тарифных ставок» заменить словами «одной месячной тарифной ставки»;</w:t>
            </w:r>
          </w:p>
          <w:p w:rsid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в подпункте 4 слова «двух месячных тарифных ставок с учетом премии в раз</w:t>
            </w: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softHyphen/>
              <w:t>мере 25 процентов месячной тарифной ставки» заменить словами «одной месячной тарифной ставки».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A961D1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2. Установить, что настоящее постановление вступает в силу с 1 января 2022 года.</w:t>
            </w:r>
          </w:p>
          <w:p w:rsidR="00A961D1" w:rsidRPr="00A961D1" w:rsidRDefault="00A961D1" w:rsidP="00A961D1">
            <w:pPr>
              <w:pStyle w:val="21"/>
              <w:shd w:val="clear" w:color="auto" w:fill="auto"/>
              <w:spacing w:line="360" w:lineRule="auto"/>
              <w:ind w:left="34" w:firstLine="675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</w:p>
          <w:p w:rsidR="00C75BF7" w:rsidRPr="00A961D1" w:rsidRDefault="00C75BF7" w:rsidP="0006465B">
            <w:pPr>
              <w:ind w:right="4535"/>
              <w:rPr>
                <w:bCs/>
              </w:rPr>
            </w:pPr>
          </w:p>
          <w:p w:rsidR="00121B50" w:rsidRPr="0006465B" w:rsidRDefault="00121B50" w:rsidP="001C7EB7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</w:tc>
      </w:tr>
    </w:tbl>
    <w:p w:rsidR="00883435" w:rsidRDefault="00883435" w:rsidP="00883435">
      <w:r>
        <w:lastRenderedPageBreak/>
        <w:t xml:space="preserve">           Мэр города Бавлы, </w:t>
      </w:r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sectPr w:rsidR="00F8456F" w:rsidSect="00A961D1">
      <w:headerReference w:type="default" r:id="rId7"/>
      <w:pgSz w:w="11906" w:h="16838"/>
      <w:pgMar w:top="1134" w:right="1134" w:bottom="1134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C40" w:rsidRDefault="00363C40" w:rsidP="008F67C9">
      <w:r>
        <w:separator/>
      </w:r>
    </w:p>
  </w:endnote>
  <w:endnote w:type="continuationSeparator" w:id="0">
    <w:p w:rsidR="00363C40" w:rsidRDefault="00363C40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C40" w:rsidRDefault="00363C40" w:rsidP="008F67C9">
      <w:r>
        <w:separator/>
      </w:r>
    </w:p>
  </w:footnote>
  <w:footnote w:type="continuationSeparator" w:id="0">
    <w:p w:rsidR="00363C40" w:rsidRDefault="00363C40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390635"/>
      <w:docPartObj>
        <w:docPartGallery w:val="Page Numbers (Top of Page)"/>
        <w:docPartUnique/>
      </w:docPartObj>
    </w:sdtPr>
    <w:sdtEndPr/>
    <w:sdtContent>
      <w:p w:rsidR="00761A6B" w:rsidRDefault="00761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7EB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C1ED0"/>
    <w:rsid w:val="000C4D5E"/>
    <w:rsid w:val="00102A16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C7EB7"/>
    <w:rsid w:val="001F4089"/>
    <w:rsid w:val="0020785C"/>
    <w:rsid w:val="00232430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63C40"/>
    <w:rsid w:val="0038501A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124B"/>
    <w:rsid w:val="00704010"/>
    <w:rsid w:val="00705E87"/>
    <w:rsid w:val="0071324E"/>
    <w:rsid w:val="00716A2A"/>
    <w:rsid w:val="00725F0C"/>
    <w:rsid w:val="00741802"/>
    <w:rsid w:val="00753F0D"/>
    <w:rsid w:val="00761A6B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6036"/>
    <w:rsid w:val="008F1572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84F90"/>
    <w:rsid w:val="00A92E2E"/>
    <w:rsid w:val="00A961D1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D461B"/>
    <w:rsid w:val="00BD7E02"/>
    <w:rsid w:val="00BE07EB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75BF7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318A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64606"/>
    <w:rsid w:val="00F70966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Основной текст_"/>
    <w:link w:val="21"/>
    <w:locked/>
    <w:rsid w:val="00A961D1"/>
    <w:rPr>
      <w:spacing w:val="-3"/>
      <w:shd w:val="clear" w:color="auto" w:fill="FFFFFF"/>
    </w:rPr>
  </w:style>
  <w:style w:type="paragraph" w:customStyle="1" w:styleId="21">
    <w:name w:val="Основной текст2"/>
    <w:basedOn w:val="a"/>
    <w:link w:val="ac"/>
    <w:rsid w:val="00A961D1"/>
    <w:pPr>
      <w:widowControl w:val="0"/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spacing w:val="-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Основной текст_"/>
    <w:link w:val="21"/>
    <w:locked/>
    <w:rsid w:val="00A961D1"/>
    <w:rPr>
      <w:spacing w:val="-3"/>
      <w:shd w:val="clear" w:color="auto" w:fill="FFFFFF"/>
    </w:rPr>
  </w:style>
  <w:style w:type="paragraph" w:customStyle="1" w:styleId="21">
    <w:name w:val="Основной текст2"/>
    <w:basedOn w:val="a"/>
    <w:link w:val="ac"/>
    <w:rsid w:val="00A961D1"/>
    <w:pPr>
      <w:widowControl w:val="0"/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spacing w:val="-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2022-01-15T10:51:00Z</cp:lastPrinted>
  <dcterms:created xsi:type="dcterms:W3CDTF">2022-01-27T10:51:00Z</dcterms:created>
  <dcterms:modified xsi:type="dcterms:W3CDTF">2022-01-27T10:51:00Z</dcterms:modified>
</cp:coreProperties>
</file>