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>
        <w:tc>
          <w:tcPr>
            <w:tcW w:w="2294" w:type="pct"/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КОМИТЕТ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НОВОЗАРЕЧЕНСКОГО СЕЛЬСКОГО ПОСЕЛЕНИЯ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ТАТАРСТАН РЕСПУБЛИКАСЫ</w:t>
            </w:r>
          </w:p>
          <w:p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ar-SA"/>
              </w:rPr>
              <w:t>БАУЛЫ</w:t>
            </w:r>
          </w:p>
          <w:p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МУНИ</w:t>
            </w:r>
            <w:r>
              <w:rPr>
                <w:rFonts w:ascii="Arial" w:hAnsi="Arial" w:cs="Arial"/>
              </w:rPr>
              <w:t>Ц</w:t>
            </w:r>
            <w:r>
              <w:rPr>
                <w:rFonts w:ascii="Arial" w:hAnsi="Arial" w:cs="Arial"/>
                <w:lang w:val="tt-RU"/>
              </w:rPr>
              <w:t xml:space="preserve">ИПАЛЬ  </w:t>
            </w:r>
            <w:r>
              <w:rPr>
                <w:rFonts w:ascii="Arial" w:hAnsi="Arial" w:cs="Arial"/>
              </w:rPr>
              <w:t>РАЙОНЫ</w:t>
            </w:r>
          </w:p>
          <w:p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  <w:lang w:val="tt-RU"/>
              </w:rPr>
              <w:t>Ң</w:t>
            </w:r>
            <w:r>
              <w:rPr>
                <w:rFonts w:ascii="Arial" w:hAnsi="Arial" w:cs="Arial"/>
              </w:rPr>
              <w:t>А ЗАРЕЧЕНСК</w:t>
            </w:r>
          </w:p>
          <w:p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АВЫЛ </w:t>
            </w:r>
            <w:r>
              <w:rPr>
                <w:rFonts w:ascii="Arial" w:hAnsi="Arial" w:cs="Arial"/>
                <w:lang w:val="tt-RU"/>
              </w:rPr>
              <w:t>Җ</w:t>
            </w:r>
            <w:r>
              <w:rPr>
                <w:rFonts w:ascii="Arial" w:eastAsia="Calibri" w:hAnsi="Arial" w:cs="Arial"/>
              </w:rPr>
              <w:t>ИРЛЕГЕ</w:t>
            </w:r>
          </w:p>
          <w:p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БАШКАРМА КОМИТЕТЫ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>
        <w:trPr>
          <w:trHeight w:val="314"/>
        </w:trPr>
        <w:tc>
          <w:tcPr>
            <w:tcW w:w="5000" w:type="pct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>
        <w:tc>
          <w:tcPr>
            <w:tcW w:w="2545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КАРАР</w:t>
            </w:r>
          </w:p>
        </w:tc>
      </w:tr>
      <w:t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п.Новозареченск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>
        <w:tc>
          <w:tcPr>
            <w:tcW w:w="2545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Об утверждении Перечня налоговых</w:t>
      </w:r>
    </w:p>
    <w:p>
      <w:pPr>
        <w:rPr>
          <w:rFonts w:ascii="Arial" w:hAnsi="Arial" w:cs="Arial"/>
          <w:bCs/>
          <w:shd w:val="clear" w:color="auto" w:fill="FFFFFF"/>
        </w:rPr>
      </w:pPr>
      <w:proofErr w:type="gramStart"/>
      <w:r>
        <w:rPr>
          <w:rFonts w:ascii="Arial" w:hAnsi="Arial" w:cs="Arial"/>
          <w:bCs/>
          <w:shd w:val="clear" w:color="auto" w:fill="FFFFFF"/>
        </w:rPr>
        <w:t>расходов</w:t>
      </w:r>
      <w:proofErr w:type="gramEnd"/>
      <w:r>
        <w:rPr>
          <w:rFonts w:ascii="Arial" w:hAnsi="Arial" w:cs="Arial"/>
          <w:bCs/>
          <w:shd w:val="clear" w:color="auto" w:fill="FFFFFF"/>
        </w:rPr>
        <w:t xml:space="preserve"> Новозареченского сельского</w:t>
      </w:r>
    </w:p>
    <w:p>
      <w:p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поселения Бавлинского муниципального</w:t>
      </w:r>
    </w:p>
    <w:p>
      <w:p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района на 2021 год и плановый период </w:t>
      </w:r>
    </w:p>
    <w:p>
      <w:pPr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>2022 и 2023 годов</w:t>
      </w:r>
    </w:p>
    <w:p>
      <w:pPr>
        <w:rPr>
          <w:rFonts w:ascii="Arial" w:hAnsi="Arial" w:cs="Arial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>
        <w:rPr>
          <w:rFonts w:ascii="Arial" w:hAnsi="Arial" w:cs="Arial"/>
          <w:bCs/>
          <w:shd w:val="clear" w:color="auto" w:fill="FFFFFF"/>
        </w:rPr>
        <w:t xml:space="preserve">Новозареченского </w:t>
      </w:r>
      <w:r>
        <w:rPr>
          <w:rFonts w:ascii="Arial" w:hAnsi="Arial" w:cs="Arial"/>
          <w:shd w:val="clear" w:color="auto" w:fill="FFFFFF"/>
        </w:rPr>
        <w:t xml:space="preserve">сельского поселения Бавлинского муниципального района, утвержденного постановлением Исполнительного комитета </w:t>
      </w:r>
      <w:r>
        <w:rPr>
          <w:rFonts w:ascii="Arial" w:hAnsi="Arial" w:cs="Arial"/>
          <w:bCs/>
          <w:shd w:val="clear" w:color="auto" w:fill="FFFFFF"/>
        </w:rPr>
        <w:t>Новозареченского</w:t>
      </w:r>
      <w:r>
        <w:rPr>
          <w:rFonts w:ascii="Arial" w:hAnsi="Arial" w:cs="Arial"/>
          <w:shd w:val="clear" w:color="auto" w:fill="FFFFFF"/>
        </w:rPr>
        <w:t xml:space="preserve"> сельского поселения Бавлинского муниципального района от 30.03.2020 года  №6 (с изменениями, внесенными от 27.04.2021 №11) Исполнительный комитет </w:t>
      </w:r>
      <w:r>
        <w:rPr>
          <w:rFonts w:ascii="Arial" w:hAnsi="Arial" w:cs="Arial"/>
          <w:bCs/>
          <w:shd w:val="clear" w:color="auto" w:fill="FFFFFF"/>
        </w:rPr>
        <w:t xml:space="preserve">Новозареченского </w:t>
      </w:r>
      <w:r>
        <w:rPr>
          <w:rFonts w:ascii="Arial" w:hAnsi="Arial" w:cs="Arial"/>
          <w:shd w:val="clear" w:color="auto" w:fill="FFFFFF"/>
        </w:rPr>
        <w:t xml:space="preserve">сельского поселения Бавлинского муниципального района 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 О С Т А Н О В Л Я Е Т:</w:t>
      </w:r>
    </w:p>
    <w:p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прилагаемый перечень налоговых расходов </w:t>
      </w:r>
      <w:r>
        <w:rPr>
          <w:rFonts w:ascii="Arial" w:hAnsi="Arial" w:cs="Arial"/>
          <w:bCs/>
          <w:shd w:val="clear" w:color="auto" w:fill="FFFFFF"/>
        </w:rPr>
        <w:t>Новозареченского</w:t>
      </w:r>
      <w:r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на 2021 год и плановый период 2022 и 2023 годов.</w:t>
      </w:r>
    </w:p>
    <w:p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 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>
          <w:rPr>
            <w:rStyle w:val="a5"/>
            <w:rFonts w:ascii="Arial" w:hAnsi="Arial" w:cs="Arial"/>
            <w:color w:val="auto"/>
            <w:u w:val="none"/>
          </w:rPr>
          <w:t>http://www.bavly.tatarstan.ru</w:t>
        </w:r>
      </w:hyperlink>
      <w:r>
        <w:rPr>
          <w:rFonts w:ascii="Arial" w:hAnsi="Arial" w:cs="Arial"/>
        </w:rPr>
        <w:t>).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>
      <w:pPr>
        <w:ind w:left="708" w:firstLine="708"/>
        <w:rPr>
          <w:rFonts w:ascii="Arial" w:hAnsi="Arial" w:cs="Arial"/>
        </w:rPr>
      </w:pPr>
    </w:p>
    <w:p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 </w:t>
      </w:r>
    </w:p>
    <w:p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Исполнительного комитета</w:t>
      </w:r>
    </w:p>
    <w:p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Новозареченского</w:t>
      </w:r>
      <w:proofErr w:type="spellEnd"/>
      <w:r>
        <w:rPr>
          <w:rFonts w:ascii="Arial" w:hAnsi="Arial" w:cs="Arial"/>
        </w:rPr>
        <w:t xml:space="preserve"> сельского поселения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А.Ф. </w:t>
      </w:r>
      <w:proofErr w:type="spellStart"/>
      <w:r>
        <w:rPr>
          <w:rFonts w:ascii="Arial" w:hAnsi="Arial" w:cs="Arial"/>
        </w:rPr>
        <w:t>Шарифуллина</w:t>
      </w:r>
      <w:proofErr w:type="spellEnd"/>
    </w:p>
    <w:p>
      <w:pPr>
        <w:ind w:left="5103"/>
        <w:jc w:val="right"/>
        <w:rPr>
          <w:rFonts w:ascii="Arial" w:hAnsi="Arial" w:cs="Arial"/>
        </w:rPr>
        <w:sectPr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</w:t>
      </w:r>
    </w:p>
    <w:p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постановлением </w:t>
      </w:r>
    </w:p>
    <w:p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</w:p>
    <w:p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Новозареченского сельского поселения</w:t>
      </w:r>
    </w:p>
    <w:p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Бавлинского муниципального района </w:t>
      </w:r>
    </w:p>
    <w:p>
      <w:pPr>
        <w:ind w:left="5103" w:right="49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от «11» августа 2021 № 16</w:t>
      </w:r>
    </w:p>
    <w:p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60"/>
      <w:bookmarkEnd w:id="1"/>
    </w:p>
    <w:p>
      <w:pPr>
        <w:widowControl w:val="0"/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налоговых расходов муниципального образования  Новозареченского сельского поселения Бавлинского муниципального района </w:t>
      </w:r>
    </w:p>
    <w:p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 2021 год и плановый период 2022 и 2023 годов</w:t>
      </w:r>
    </w:p>
    <w:p>
      <w:pPr>
        <w:jc w:val="center"/>
        <w:rPr>
          <w:rFonts w:ascii="Arial" w:hAnsi="Arial" w:cs="Arial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1134"/>
        <w:gridCol w:w="1134"/>
        <w:gridCol w:w="1276"/>
        <w:gridCol w:w="1275"/>
        <w:gridCol w:w="1559"/>
        <w:gridCol w:w="1559"/>
      </w:tblGrid>
      <w:tr>
        <w:tc>
          <w:tcPr>
            <w:tcW w:w="1142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322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НПА, устанавливающий налоговую льготу</w:t>
            </w:r>
          </w:p>
        </w:tc>
        <w:tc>
          <w:tcPr>
            <w:tcW w:w="1148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категория налоговой льготы</w:t>
            </w:r>
          </w:p>
        </w:tc>
      </w:tr>
      <w:tr>
        <w:trPr>
          <w:trHeight w:val="252"/>
        </w:trPr>
        <w:tc>
          <w:tcPr>
            <w:tcW w:w="1142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22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8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 сельского поселения         «О земельном налоге»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п.3</w:t>
            </w:r>
          </w:p>
        </w:tc>
        <w:tc>
          <w:tcPr>
            <w:tcW w:w="1240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неограниченный</w:t>
            </w:r>
            <w:proofErr w:type="gram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 сельского поселения         «О земельном налоге»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п.4, п.п. 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земельные</w:t>
            </w:r>
            <w:proofErr w:type="gramEnd"/>
            <w:r>
              <w:rPr>
                <w:rFonts w:ascii="Arial" w:hAnsi="Arial" w:cs="Arial"/>
              </w:rPr>
              <w:t xml:space="preserve"> участки общего пользования, занятые парками, скверами, улицами, автомобильными дорогами, проездам</w:t>
            </w:r>
            <w:r>
              <w:rPr>
                <w:rFonts w:ascii="Arial" w:hAnsi="Arial" w:cs="Arial"/>
              </w:rPr>
              <w:lastRenderedPageBreak/>
              <w:t>и, площадями, водными объектами, кладбищами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Организации в отношении земельных участков общего пользования, занятых парками, скверами, улицами, автомобильными </w:t>
            </w:r>
            <w:r>
              <w:rPr>
                <w:rFonts w:ascii="Arial" w:hAnsi="Arial" w:cs="Arial"/>
              </w:rPr>
              <w:lastRenderedPageBreak/>
              <w:t>дорогами, проездами, площадями, водными объектами, кладбищами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x-none" w:eastAsia="x-none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неограниченный</w:t>
            </w:r>
            <w:proofErr w:type="gram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Освобождение от налогообложения: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организации</w:t>
            </w:r>
            <w:proofErr w:type="gramEnd"/>
            <w:r>
              <w:rPr>
                <w:rFonts w:ascii="Arial" w:hAnsi="Arial" w:cs="Arial"/>
              </w:rPr>
              <w:t xml:space="preserve"> в отношении земельных участков общего пользования, занятых парками, скверами, улицами, автомобиль</w:t>
            </w:r>
            <w:r>
              <w:rPr>
                <w:rFonts w:ascii="Arial" w:hAnsi="Arial" w:cs="Arial"/>
              </w:rPr>
              <w:lastRenderedPageBreak/>
              <w:t>ными дорогами, проездами, площадями, водными объектами, кладбищами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 сельского поселения         «О земельном налоге»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п.4, п.п. 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</w:t>
            </w:r>
            <w:r>
              <w:rPr>
                <w:rFonts w:ascii="Arial" w:hAnsi="Arial" w:cs="Arial"/>
              </w:rPr>
              <w:lastRenderedPageBreak/>
              <w:t>войны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неограниченный</w:t>
            </w:r>
            <w:proofErr w:type="gram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</w:t>
            </w:r>
            <w:r>
              <w:rPr>
                <w:rFonts w:ascii="Arial" w:hAnsi="Arial" w:cs="Arial"/>
              </w:rPr>
              <w:lastRenderedPageBreak/>
              <w:t>Отечественной войны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 сельского поселения          «О земельном налоге» 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п.4, п.п. 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неограничен</w:t>
            </w:r>
          </w:p>
          <w:p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поддержка</w:t>
            </w:r>
          </w:p>
        </w:tc>
      </w:tr>
      <w:tr>
        <w:trPr>
          <w:trHeight w:val="1731"/>
        </w:trP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сельского поселения          «О земельном налоге» 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п.4, п.п. 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неограничен</w:t>
            </w:r>
          </w:p>
          <w:p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Совета Новозареченского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сельского поселения          «О земельном налоге» 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п.4, п.п. 5</w:t>
            </w:r>
          </w:p>
        </w:tc>
        <w:tc>
          <w:tcPr>
            <w:tcW w:w="124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9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неограничен</w:t>
            </w:r>
          </w:p>
          <w:p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ный</w:t>
            </w:r>
            <w:proofErr w:type="spell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5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Решение Совета </w:t>
            </w:r>
            <w:r>
              <w:rPr>
                <w:rFonts w:ascii="Arial" w:hAnsi="Arial" w:cs="Arial"/>
              </w:rPr>
              <w:lastRenderedPageBreak/>
              <w:t>Новозареченского сельского поселения         «О земельном налоге»             от 18.11.2020 №9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п. 2, </w:t>
            </w:r>
            <w:r>
              <w:rPr>
                <w:rFonts w:ascii="Arial" w:hAnsi="Arial" w:cs="Arial"/>
              </w:rPr>
              <w:lastRenderedPageBreak/>
              <w:t>п.п.1, абзац 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В </w:t>
            </w:r>
            <w:r>
              <w:rPr>
                <w:rFonts w:ascii="Arial" w:hAnsi="Arial" w:cs="Arial"/>
              </w:rPr>
              <w:lastRenderedPageBreak/>
              <w:t>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Производ</w:t>
            </w:r>
            <w:r>
              <w:rPr>
                <w:rFonts w:ascii="Arial" w:hAnsi="Arial" w:cs="Arial"/>
              </w:rPr>
              <w:lastRenderedPageBreak/>
              <w:t>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18.11.20</w:t>
            </w: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252" w:lineRule="auto"/>
              <w:ind w:right="58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01.01.20</w:t>
            </w:r>
            <w:r>
              <w:rPr>
                <w:rFonts w:ascii="Arial" w:hAnsi="Arial" w:cs="Arial"/>
                <w:noProof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неогранич</w:t>
            </w:r>
            <w:r>
              <w:rPr>
                <w:rFonts w:ascii="Arial" w:hAnsi="Arial" w:cs="Arial"/>
              </w:rPr>
              <w:lastRenderedPageBreak/>
              <w:t>енный</w:t>
            </w:r>
            <w:proofErr w:type="gram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не </w:t>
            </w:r>
            <w:r>
              <w:rPr>
                <w:rFonts w:ascii="Arial" w:hAnsi="Arial" w:cs="Arial"/>
              </w:rPr>
              <w:lastRenderedPageBreak/>
              <w:t>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Пониженная </w:t>
            </w:r>
            <w:r>
              <w:rPr>
                <w:rFonts w:ascii="Arial" w:hAnsi="Arial" w:cs="Arial"/>
              </w:rPr>
              <w:lastRenderedPageBreak/>
              <w:t>ставка 0,1%: производители сельскохозяйственной продукции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Социальная </w:t>
            </w:r>
            <w:r>
              <w:rPr>
                <w:rFonts w:ascii="Arial" w:hAnsi="Arial" w:cs="Arial"/>
              </w:rPr>
              <w:lastRenderedPageBreak/>
              <w:t>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Решение Новозареченского сельского поселения          «О налоге на имущество физических лиц»                от 14.11.2014 №75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квартиры в многоквартирном одноэтажном жилом доме, </w:t>
            </w:r>
            <w:r>
              <w:rPr>
                <w:rFonts w:ascii="Arial" w:hAnsi="Arial" w:cs="Arial"/>
              </w:rPr>
              <w:lastRenderedPageBreak/>
              <w:t>состоящем из двух квартир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Собственники квартир в многоквартирном одноэтажном жилом </w:t>
            </w:r>
            <w:r>
              <w:rPr>
                <w:rFonts w:ascii="Arial" w:hAnsi="Arial" w:cs="Arial"/>
              </w:rPr>
              <w:lastRenderedPageBreak/>
              <w:t>доме, состоящем из двух квартир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01.06.2015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неограниченный</w:t>
            </w:r>
            <w:proofErr w:type="gramEnd"/>
            <w:r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Льгота в виде уменьшения суммы исчисленного налога на сумму, определяем</w:t>
            </w:r>
            <w:r>
              <w:rPr>
                <w:rFonts w:ascii="Arial" w:hAnsi="Arial" w:cs="Arial"/>
              </w:rPr>
              <w:lastRenderedPageBreak/>
              <w:t>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Социальная поддержка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</w:p>
    <w:sectPr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6"/>
      <w:jc w:val="center"/>
    </w:pPr>
  </w:p>
  <w:p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E429F6-1593-4D5A-B4FA-CCA775D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character" w:styleId="a8">
    <w:name w:val="page number"/>
    <w:basedOn w:val="a0"/>
  </w:style>
  <w:style w:type="paragraph" w:styleId="a9">
    <w:name w:val="footnote text"/>
    <w:basedOn w:val="a"/>
    <w:link w:val="aa"/>
    <w:rPr>
      <w:sz w:val="20"/>
      <w:szCs w:val="20"/>
    </w:rPr>
  </w:style>
  <w:style w:type="character" w:customStyle="1" w:styleId="aa">
    <w:name w:val="Текст сноски Знак"/>
    <w:basedOn w:val="a0"/>
    <w:link w:val="a9"/>
  </w:style>
  <w:style w:type="character" w:styleId="ab">
    <w:name w:val="footnote reference"/>
    <w:uiPriority w:val="99"/>
    <w:rPr>
      <w:vertAlign w:val="superscript"/>
    </w:rPr>
  </w:style>
  <w:style w:type="paragraph" w:styleId="ac">
    <w:name w:val="Normal (Web)"/>
    <w:basedOn w:val="a"/>
    <w:unhideWhenUsed/>
    <w:pPr>
      <w:spacing w:before="100" w:beforeAutospacing="1" w:after="100" w:afterAutospacing="1"/>
    </w:pPr>
  </w:style>
  <w:style w:type="character" w:styleId="ad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sz w:val="24"/>
      <w:szCs w:val="24"/>
    </w:rPr>
  </w:style>
  <w:style w:type="paragraph" w:styleId="af0">
    <w:name w:val="Body Text"/>
    <w:basedOn w:val="a"/>
    <w:link w:val="af1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paragraph" w:customStyle="1" w:styleId="BodyText1">
    <w:name w:val="Body Text1"/>
    <w:basedOn w:val="a"/>
    <w:rPr>
      <w:sz w:val="28"/>
      <w:szCs w:val="20"/>
    </w:rPr>
  </w:style>
  <w:style w:type="paragraph" w:customStyle="1" w:styleId="af2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pPr>
      <w:numPr>
        <w:numId w:val="18"/>
      </w:numPr>
    </w:p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Pr>
      <w:b/>
      <w:bCs/>
      <w:sz w:val="28"/>
      <w:szCs w:val="28"/>
    </w:rPr>
  </w:style>
  <w:style w:type="character" w:customStyle="1" w:styleId="change">
    <w:name w:val="chang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7859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Лилия Залилова</cp:lastModifiedBy>
  <cp:revision>2</cp:revision>
  <cp:lastPrinted>2021-08-11T06:27:00Z</cp:lastPrinted>
  <dcterms:created xsi:type="dcterms:W3CDTF">2021-08-20T11:49:00Z</dcterms:created>
  <dcterms:modified xsi:type="dcterms:W3CDTF">2021-08-20T11:49:00Z</dcterms:modified>
</cp:coreProperties>
</file>