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B1878" w:rsidRPr="005B5890" w:rsidTr="00A61B7E">
        <w:trPr>
          <w:trHeight w:val="1221"/>
        </w:trPr>
        <w:tc>
          <w:tcPr>
            <w:tcW w:w="4400" w:type="dxa"/>
          </w:tcPr>
          <w:p w:rsidR="007B1878" w:rsidRPr="005B5890" w:rsidRDefault="007B1878" w:rsidP="00A61B7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7B1878" w:rsidRPr="005B5890" w:rsidRDefault="007B1878" w:rsidP="00A61B7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B1878" w:rsidRPr="005B5890" w:rsidRDefault="007B1878" w:rsidP="00A61B7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C478FC" wp14:editId="2B62284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1878" w:rsidRPr="005B5890" w:rsidRDefault="007B1878" w:rsidP="00A61B7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1878" w:rsidRPr="005B5890" w:rsidRDefault="007B1878" w:rsidP="00A6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1878" w:rsidRPr="005B5890" w:rsidRDefault="007B1878" w:rsidP="00A61B7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7B1878" w:rsidRPr="005B5890" w:rsidRDefault="007B1878" w:rsidP="00A61B7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5B5890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B1878" w:rsidRPr="005B5890" w:rsidRDefault="007B1878" w:rsidP="00A61B7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B58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7B1878" w:rsidRPr="005B5890" w:rsidRDefault="007B1878" w:rsidP="00A61B7E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7B1878" w:rsidRPr="005B5890" w:rsidTr="00A61B7E">
        <w:trPr>
          <w:trHeight w:hRule="exact" w:val="387"/>
        </w:trPr>
        <w:tc>
          <w:tcPr>
            <w:tcW w:w="9639" w:type="dxa"/>
            <w:gridSpan w:val="4"/>
          </w:tcPr>
          <w:p w:rsidR="007B1878" w:rsidRPr="005B5890" w:rsidRDefault="007B1878" w:rsidP="00A61B7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1878" w:rsidRPr="005B5890" w:rsidRDefault="007B1878" w:rsidP="00A6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1878" w:rsidRPr="005B5890" w:rsidTr="00A61B7E">
        <w:trPr>
          <w:trHeight w:val="413"/>
        </w:trPr>
        <w:tc>
          <w:tcPr>
            <w:tcW w:w="4850" w:type="dxa"/>
            <w:gridSpan w:val="2"/>
            <w:vAlign w:val="bottom"/>
          </w:tcPr>
          <w:p w:rsidR="007B1878" w:rsidRPr="005B5890" w:rsidRDefault="007B1878" w:rsidP="00A61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B1878" w:rsidRPr="005B5890" w:rsidRDefault="007B1878" w:rsidP="00A6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7B1878" w:rsidRPr="005B5890" w:rsidTr="00A61B7E">
        <w:trPr>
          <w:trHeight w:val="413"/>
        </w:trPr>
        <w:tc>
          <w:tcPr>
            <w:tcW w:w="9639" w:type="dxa"/>
            <w:gridSpan w:val="4"/>
            <w:vAlign w:val="bottom"/>
          </w:tcPr>
          <w:p w:rsidR="007B1878" w:rsidRPr="005B5890" w:rsidRDefault="007B1878" w:rsidP="00A61B7E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B1878" w:rsidRPr="005B5890" w:rsidRDefault="007B1878" w:rsidP="00A61B7E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7B1878" w:rsidRPr="005B5890" w:rsidRDefault="007B1878" w:rsidP="005B5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B1878" w:rsidRPr="005B5890" w:rsidRDefault="007B1878" w:rsidP="007B18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Об утверждении </w:t>
      </w:r>
      <w:proofErr w:type="gramStart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муниципальной</w:t>
      </w:r>
      <w:proofErr w:type="gramEnd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программы «Поддержка </w:t>
      </w:r>
      <w:proofErr w:type="gramStart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одаренных</w:t>
      </w:r>
      <w:proofErr w:type="gramEnd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детей и молодежи Бавлинского </w:t>
      </w: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муниципального района Республики</w:t>
      </w: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Татарстан» на 2021-2025 годы</w:t>
      </w: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В целях выявления и формирования творческой личности детей и молодежи Бавлинского муниципального района, способной к самоопределению с учетом социокультурной ситуации в условиях современного общества, Исполнительный комитет Бавлинского муниципального района Республики Татарстан</w:t>
      </w:r>
    </w:p>
    <w:p w:rsidR="007B1878" w:rsidRPr="005B5890" w:rsidRDefault="007B1878" w:rsidP="007B1878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proofErr w:type="gramStart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П</w:t>
      </w:r>
      <w:proofErr w:type="gramEnd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 О С Т А Н О В Л Я Е Т :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1. Утвердить прилагаемую муниципальную программу «Поддержка одаренных детей и молодежи Бавлинского муниципального района Республики Татарстан» на 2021-2025 годы.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2. </w:t>
      </w:r>
      <w:proofErr w:type="gramStart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>Контроль за</w:t>
      </w:r>
      <w:proofErr w:type="gramEnd"/>
      <w:r w:rsidRPr="005B5890">
        <w:rPr>
          <w:rFonts w:ascii="Arial" w:hAnsi="Arial" w:cs="Arial"/>
          <w:spacing w:val="-4"/>
          <w:sz w:val="24"/>
          <w:szCs w:val="24"/>
          <w:lang w:eastAsia="ru-RU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7B1878" w:rsidRPr="005B5890" w:rsidRDefault="007B1878" w:rsidP="007B1878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5B5890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:rsidR="007B1878" w:rsidRPr="005B5890" w:rsidRDefault="007B1878" w:rsidP="007B1878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5B5890">
        <w:rPr>
          <w:rFonts w:ascii="Arial" w:hAnsi="Arial" w:cs="Arial"/>
          <w:sz w:val="24"/>
          <w:szCs w:val="24"/>
          <w:lang w:eastAsia="ru-RU"/>
        </w:rPr>
        <w:t xml:space="preserve">Руководитель                                                                               И.И. </w:t>
      </w:r>
      <w:proofErr w:type="spellStart"/>
      <w:r w:rsidRPr="005B5890">
        <w:rPr>
          <w:rFonts w:ascii="Arial" w:hAnsi="Arial" w:cs="Arial"/>
          <w:sz w:val="24"/>
          <w:szCs w:val="24"/>
          <w:lang w:eastAsia="ru-RU"/>
        </w:rPr>
        <w:t>Гузаиров</w:t>
      </w:r>
      <w:proofErr w:type="spellEnd"/>
    </w:p>
    <w:p w:rsidR="007B1878" w:rsidRPr="005B5890" w:rsidRDefault="007B1878" w:rsidP="007B1878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3536BC" w:rsidRPr="005B5890" w:rsidRDefault="003536BC">
      <w:pPr>
        <w:rPr>
          <w:rFonts w:ascii="Arial" w:hAnsi="Arial" w:cs="Arial"/>
          <w:sz w:val="24"/>
          <w:szCs w:val="24"/>
        </w:rPr>
      </w:pPr>
    </w:p>
    <w:p w:rsidR="007B1878" w:rsidRPr="005B5890" w:rsidRDefault="007B1878">
      <w:pPr>
        <w:rPr>
          <w:rFonts w:ascii="Arial" w:hAnsi="Arial" w:cs="Arial"/>
          <w:sz w:val="24"/>
          <w:szCs w:val="24"/>
        </w:rPr>
      </w:pPr>
    </w:p>
    <w:p w:rsidR="007B1878" w:rsidRDefault="007B1878">
      <w:pPr>
        <w:rPr>
          <w:rFonts w:ascii="Arial" w:hAnsi="Arial" w:cs="Arial"/>
          <w:sz w:val="24"/>
          <w:szCs w:val="24"/>
        </w:rPr>
      </w:pPr>
    </w:p>
    <w:p w:rsidR="005B5890" w:rsidRDefault="005B5890">
      <w:pPr>
        <w:rPr>
          <w:rFonts w:ascii="Arial" w:hAnsi="Arial" w:cs="Arial"/>
          <w:sz w:val="24"/>
          <w:szCs w:val="24"/>
        </w:rPr>
      </w:pPr>
    </w:p>
    <w:p w:rsidR="005B5890" w:rsidRDefault="005B5890">
      <w:pPr>
        <w:rPr>
          <w:rFonts w:ascii="Arial" w:hAnsi="Arial" w:cs="Arial"/>
          <w:sz w:val="24"/>
          <w:szCs w:val="24"/>
        </w:rPr>
      </w:pPr>
    </w:p>
    <w:p w:rsidR="005B5890" w:rsidRPr="005B5890" w:rsidRDefault="005B5890">
      <w:pPr>
        <w:rPr>
          <w:rFonts w:ascii="Arial" w:hAnsi="Arial" w:cs="Arial"/>
          <w:sz w:val="24"/>
          <w:szCs w:val="24"/>
        </w:rPr>
      </w:pPr>
    </w:p>
    <w:p w:rsidR="007B1878" w:rsidRPr="005B5890" w:rsidRDefault="007B1878">
      <w:pPr>
        <w:rPr>
          <w:rFonts w:ascii="Arial" w:hAnsi="Arial" w:cs="Arial"/>
          <w:sz w:val="24"/>
          <w:szCs w:val="24"/>
        </w:rPr>
      </w:pPr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FDF44" wp14:editId="49152BBD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5B5890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bookmarkStart w:id="0" w:name="_GoBack"/>
      <w:bookmarkEnd w:id="0"/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7B1878" w:rsidRPr="005B5890" w:rsidRDefault="007B1878" w:rsidP="007B1878">
      <w:pPr>
        <w:spacing w:after="0" w:line="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МУНИЦИПАЛЬНАЯ ПРОГРАММА</w:t>
      </w:r>
    </w:p>
    <w:p w:rsidR="007B1878" w:rsidRPr="005B5890" w:rsidRDefault="007B1878" w:rsidP="007B1878">
      <w:pPr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«Поддержка одаренных детей и молодежи Бавлинского </w:t>
      </w:r>
      <w:proofErr w:type="gramStart"/>
      <w:r w:rsidRPr="005B5890">
        <w:rPr>
          <w:rFonts w:ascii="Arial" w:eastAsia="Times New Roman" w:hAnsi="Arial" w:cs="Arial"/>
          <w:spacing w:val="-4"/>
          <w:sz w:val="24"/>
          <w:szCs w:val="24"/>
          <w:lang w:eastAsia="ru-RU"/>
        </w:rPr>
        <w:t>муниципального</w:t>
      </w:r>
      <w:proofErr w:type="gramEnd"/>
      <w:r w:rsidRPr="005B589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</w:p>
    <w:p w:rsidR="007B1878" w:rsidRPr="005B5890" w:rsidRDefault="007B1878" w:rsidP="007B18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pacing w:val="-4"/>
          <w:sz w:val="24"/>
          <w:szCs w:val="24"/>
          <w:lang w:eastAsia="ru-RU"/>
        </w:rPr>
        <w:t>района Республики Татарстан» на 2021-2025 годы</w:t>
      </w:r>
    </w:p>
    <w:p w:rsidR="007B1878" w:rsidRPr="005B5890" w:rsidRDefault="007B1878" w:rsidP="007B18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val="en-US" w:eastAsia="ru-RU"/>
        </w:rPr>
        <w:t>I</w:t>
      </w:r>
      <w:r w:rsidRPr="005B5890">
        <w:rPr>
          <w:rFonts w:ascii="Arial" w:eastAsia="Calibri" w:hAnsi="Arial" w:cs="Arial"/>
          <w:sz w:val="24"/>
          <w:szCs w:val="24"/>
          <w:lang w:eastAsia="ru-RU"/>
        </w:rPr>
        <w:t>. ПАСПОРТ ПРОГРАММЫ</w:t>
      </w:r>
    </w:p>
    <w:p w:rsidR="007B1878" w:rsidRPr="005B5890" w:rsidRDefault="007B1878" w:rsidP="007B18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759"/>
        <w:gridCol w:w="2219"/>
        <w:gridCol w:w="2074"/>
      </w:tblGrid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«Поддержка одаренных детей и молодежи Бавлинского муниципального района Республики Татарстан» на 2021-2025 годы (далее - Программа)</w:t>
            </w:r>
          </w:p>
        </w:tc>
      </w:tr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Бавлинского муниципального района Республики Татарстан </w:t>
            </w:r>
          </w:p>
        </w:tc>
      </w:tr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</w:p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муниципального района Республики Татарстан»</w:t>
            </w:r>
          </w:p>
        </w:tc>
      </w:tr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муниципального района Республики Татарстан»</w:t>
            </w:r>
          </w:p>
        </w:tc>
      </w:tr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Создание системы выявления, поддержки и развития одарённых детей и молодежи, их самореализации, профессионального самоопределения в соответствии со способностями, как основы интеллектуального, творческого, культурного потенциала</w:t>
            </w:r>
          </w:p>
        </w:tc>
      </w:tr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7B1878" w:rsidRPr="005B5890" w:rsidRDefault="007B1878" w:rsidP="007B187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системы работы с одарёнными детьми и молодежью;</w:t>
            </w:r>
          </w:p>
          <w:p w:rsidR="007B1878" w:rsidRPr="005B5890" w:rsidRDefault="007B1878" w:rsidP="007B187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выявление и отбор одаренных детей и молодежи, создание условий для развития их творческого потенциала;</w:t>
            </w:r>
          </w:p>
          <w:p w:rsidR="007B1878" w:rsidRPr="005B5890" w:rsidRDefault="007B1878" w:rsidP="007B187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осуществление адресной поддержки одаренных детей и молодежи;</w:t>
            </w:r>
          </w:p>
          <w:p w:rsidR="007B1878" w:rsidRPr="005B5890" w:rsidRDefault="007B1878" w:rsidP="007B187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содействие в развитии конкурсных мероприятий, способствующих формированию новой образовательной практики для одаренных и способных детей и молодежи, направленных на развитие художественного мышления и их духовно-нравственного становления;</w:t>
            </w:r>
          </w:p>
          <w:p w:rsidR="007B1878" w:rsidRPr="005B5890" w:rsidRDefault="007B1878" w:rsidP="007B187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популяризация успехов одаренных детей и молодежи.</w:t>
            </w:r>
          </w:p>
        </w:tc>
      </w:tr>
      <w:tr w:rsidR="007B1878" w:rsidRPr="005B5890" w:rsidTr="00A61B7E">
        <w:trPr>
          <w:trHeight w:val="6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годы</w:t>
            </w:r>
          </w:p>
        </w:tc>
      </w:tr>
      <w:tr w:rsidR="007B1878" w:rsidRPr="005B5890" w:rsidTr="00A61B7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финансирования Программы с разбивкой по годам </w:t>
            </w:r>
          </w:p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источникам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предполагаемых средств, 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7B1878" w:rsidRPr="005B5890" w:rsidTr="00A61B7E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7B1878" w:rsidRPr="005B5890" w:rsidTr="00A61B7E">
        <w:trPr>
          <w:trHeight w:val="27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38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27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22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31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- бюджетные источники. </w:t>
            </w:r>
          </w:p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Программы</w:t>
            </w:r>
            <w:proofErr w:type="gramEnd"/>
          </w:p>
        </w:tc>
      </w:tr>
      <w:tr w:rsidR="007B1878" w:rsidRPr="005B5890" w:rsidTr="00A61B7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8" w:rsidRPr="005B5890" w:rsidRDefault="007B1878" w:rsidP="007B187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78" w:rsidRPr="005B5890" w:rsidRDefault="007B1878" w:rsidP="007B1878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Программы способствует: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формированию механизма выявления и поддержки одаренных детей и молодежи;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увеличению количества одарённых детей и молодежи, проявляющих свои интеллектуальные или иные способности;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повышению эффективности работы учреждений путем внедрения инновационных программ обучения;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обеспечению ежегодного проведения мастер-классов для детей и молодежи;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созданию системы широкого освещения проблем и направлений работы с одаренными детьми и молодежью, в том числе в социальных сетях;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осуществлению организационных мероприятий по различным направлениям;</w:t>
            </w:r>
          </w:p>
          <w:p w:rsidR="007B1878" w:rsidRPr="005B5890" w:rsidRDefault="007B1878" w:rsidP="007B187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психолого-педагогическому сопровождению 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одарён-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и молодежи, вошедших в банк по одарённым детям и молодежи Бавлинского муниципального района;</w:t>
            </w:r>
          </w:p>
          <w:p w:rsidR="007B1878" w:rsidRPr="005B5890" w:rsidRDefault="007B1878" w:rsidP="007B187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доступ одарённых и талантливых детей и молодежи к современным информационным ресурсам.</w:t>
            </w:r>
          </w:p>
        </w:tc>
      </w:tr>
    </w:tbl>
    <w:p w:rsidR="007B1878" w:rsidRPr="005B5890" w:rsidRDefault="007B1878" w:rsidP="007B187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5B5890">
        <w:rPr>
          <w:rFonts w:ascii="Arial" w:eastAsia="Times New Roman" w:hAnsi="Arial" w:cs="Arial"/>
          <w:sz w:val="24"/>
          <w:szCs w:val="24"/>
          <w:lang w:eastAsia="ru-RU"/>
        </w:rPr>
        <w:t>. Общие положения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«Поддержка одаренных детей и молодежи Бавлинского муниципального района Республики Татарстан» на 2021-2025 годы направлена на выявление и развитие одаренных детей и молодежи.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Одарённость – это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Одарённый ребёнок - это ребёнок, который выделяется яркими, иногда выдающимися достижениями в том или ином виде деятельности. Правильное построение взаимоотношений одарённого ребёнка с окружающим миром позволит ему наиболее полно проявить свои способности. Очень важно создать благоприятную психологическую обстановку для одарённого ребёнка, которая поможет преодолению разрыва между интеллектуальным и личностным развитием и будет способствовать их развитию. 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чрезвычайно актуальна проблема выявления, развития и поддержки одарённых детей и молодежи. Раскрытие и реализация их способностей и талантов важны не только для одарённого ребёнка как отдельно взятой личности, но и для общества в целом, так как это потенциал страны, позволяющий решать современные экономические и социальные задачи. 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Работа с одаренными детьми, затрагивающая организационные, кадровые, нормативно-правовые, материально-технические, стимулирующие, информационные, научно-методические ресурсы, направлена на выявление, поддержку и развитие школьников на всех уровнях: школьном, муниципальном, региональном.</w:t>
      </w:r>
      <w:proofErr w:type="gramEnd"/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При организации работы с одаренными детьми и молодежью речь должна идти о создании такой образовательной среды, которая обеспечивала бы возможность развития и проявления творческой активности как одаренных детей и детей с повышенной готовностью к обучению, так и детей со скрытыми формами одаренности.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Данная Программа представляет собой объединенный единой целью комплекс нормативных правовых, организационных, информационно-пропагандистских и методических мероприятий и направлена на совершенствование системы выявления, обучения и развития одарённых детей и молодежи, а также профессиональной и личностной подготовки педагогов.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В целях сохранения и приумножения интеллектуального и творческого потенциала необходимо продолжить на муниципальном уровне решение проблем, обуславливающих создание равных стартовых возможностей для выявления, развития, социальной поддержки одаренных детей и молодежи, реализации их потенциальных и выявленных способностей, обеспечения их всестороннего развития и образования, адекватных требованиям научно-технического прогресса.</w:t>
      </w:r>
    </w:p>
    <w:p w:rsidR="007B1878" w:rsidRPr="005B5890" w:rsidRDefault="007B1878" w:rsidP="007B1878">
      <w:pPr>
        <w:tabs>
          <w:tab w:val="left" w:pos="2268"/>
          <w:tab w:val="left" w:pos="6804"/>
          <w:tab w:val="left" w:pos="7371"/>
        </w:tabs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III. Основные цели и задачи Программы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Цель Программы: </w:t>
      </w:r>
      <w:r w:rsidRPr="005B5890">
        <w:rPr>
          <w:rFonts w:ascii="Arial" w:eastAsia="Times New Roman" w:hAnsi="Arial" w:cs="Arial"/>
          <w:spacing w:val="-4"/>
          <w:sz w:val="24"/>
          <w:szCs w:val="24"/>
          <w:lang w:eastAsia="ru-RU"/>
        </w:rPr>
        <w:t>создание системы выявления, поддержки и развития одарённых детей и молодежи Бавлинского муниципального района, их самореализации, профессионального самоопределения в соответствии со способностями, как основы интеллектуального, творческого, культурного потенциала.</w:t>
      </w:r>
    </w:p>
    <w:p w:rsidR="007B1878" w:rsidRPr="005B5890" w:rsidRDefault="007B1878" w:rsidP="007B18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Основными задачами Программы являются: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развитие системы подготовки и проведения интеллектуальных, творческих и спортивных олимпиад, смотров, конкурсов и соревнований для проявления, поддержки и общественного признания талантливых детей и молодежи;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расширение сети объединений дополнительного образования в образовательных организациях для развития интеллектуальных, технических, творческих, спортивных способностей и социальной активности детей и молодежи;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повышение квалификации руководителей, учителей, психологов, педагогов дополнительного образования по организации, содержанию и методике выявления наиболее способных и одаренных школьников, созданию условий в общеобразовательных организациях для проявления способностей и талантов;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обеспечение постоянного методического сопровождения деятельности образовательных организаций по выявлению и поддержке одаренных детей и молодежи;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стимулирование развития у детей талантов и способностей, в том числе посредством реализации мероприятий по их материальной поддержке.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IV. Ресурсное обеспечение Программы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Финансирование Программы осуществляется за счет средств бюджета Бавлинского муниципального района. Общий объем финансирования на весь период действия муниципальной программы -  50,0 тыс. рублей, в том числе: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2021 год – 10,0 тыс. рублей;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2022 год – 10,0тыс. рублей;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2023 год – 10,0 тыс. рублей;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2024 год – 10,0 тыс. рублей;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         2025 год – 10,0 тыс. рублей.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</w:r>
      <w:proofErr w:type="spell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Программы.</w:t>
      </w:r>
      <w:proofErr w:type="gramEnd"/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. Принципы и подходы педагогической деятельности 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в работе с одарёнными детьми и молодежью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Подходы к педагогической деятельности в работе с одарёнными детьми и молодежью: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1. Личностно-ориентированный подход. Воспитание гуманизма, человеческого достоинства, гражданственности, гражданской активности личности связано с личностным подходом. </w:t>
      </w:r>
      <w:proofErr w:type="gram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Личность</w:t>
      </w:r>
      <w:proofErr w:type="gram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прежде всего характеризуется индивидуальностью, своим человеческим «Я». При личностном подходе необходимо учитывать важнейшие стороны личности – интеллектуальную, связанную с познанием, развитием мышления, формированием познавательных потребностей; эмоциональную, отражающую отношения личности к различным явлениям социального и естественного характера; волевую, включающую формирование установки, принятие решений, усилия при их реализации, преодоление возникающих противоречий; действенно-практическую, связанную с предметно-практической деятельностью. 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2. Дифференцированный подход предполагает выбор технологии обучения с учётом индивидуальных способностей детей и, прежде всего, с учётом доминирующего у них вида мышления, организацию обучения в соответствии с предпочитаемыми ребёнком способами переработки материала. Дифференциация обучения и дифференцированный подход к обучению, по сути дела, являются основой реализации индивидуальности ученика.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3. Эколого-психологический подход, при котором индивидуальное развитие ребёнка, ученика, понимается как процесс взаимодействия развивающейся личности со средой. Главная задача - активизировать социальный контекст жизни детей. Сущность воспитания на основе личностного эколого-психологического подхода заключается в открытии и реализации новых возможностей индивидуального и социального развития детей в условиях деятельности и общения друг с другом, событийно-ситуативной организации педагогического процесса, усилении аналитик</w:t>
      </w:r>
      <w:proofErr w:type="gram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диагностической направленности деятельности воспитателя.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4. Исследовательский подход вовлекает учащихся в круговорот научного поиска, побуждает выдвигать идеи, альтернативные тем, которые уже известны, изучать и анализировать литературу, описывать и интерпретировать сведения и наблюдения, полученные в процессе исследования. Данный подход предполагает овладение культурой </w:t>
      </w:r>
      <w:proofErr w:type="spell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самоисследования</w:t>
      </w:r>
      <w:proofErr w:type="spell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, исследования собственной учебной и профессиональной деятельности, личной жизни, состояния рынка, тенденций развития экономики. Подготовка </w:t>
      </w:r>
      <w:proofErr w:type="spellStart"/>
      <w:proofErr w:type="gram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высококвалифи-цированных</w:t>
      </w:r>
      <w:proofErr w:type="spellEnd"/>
      <w:proofErr w:type="gram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специалистов, отвечающих современному уровню научно-технического прогресса, ставит перед системой образования задачу формирования и развития исследовательских навыков учащихся уже на начальном этапе образования. Наиболее эффективно эта задача решается через внеклассные формы работы – олимпиады, интеллектуальные турниры, научные конференции.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Принципы реализации Программы «Поддержка одаренных детей и молодежи Бавлинского муниципального района Республики Татарстан» на 2021-2025 годы: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гуманизм;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демократизм;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- научность и </w:t>
      </w:r>
      <w:proofErr w:type="spell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интегративность</w:t>
      </w:r>
      <w:proofErr w:type="spell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индивидуализация и дифференциация;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 систематичность;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- развивающее обучение, </w:t>
      </w:r>
      <w:proofErr w:type="spellStart"/>
      <w:r w:rsidRPr="005B5890">
        <w:rPr>
          <w:rFonts w:ascii="Arial" w:eastAsia="Times New Roman" w:hAnsi="Arial" w:cs="Arial"/>
          <w:sz w:val="24"/>
          <w:szCs w:val="24"/>
          <w:lang w:eastAsia="ru-RU"/>
        </w:rPr>
        <w:t>компетентностный</w:t>
      </w:r>
      <w:proofErr w:type="spellEnd"/>
      <w:r w:rsidRPr="005B5890">
        <w:rPr>
          <w:rFonts w:ascii="Arial" w:eastAsia="Times New Roman" w:hAnsi="Arial" w:cs="Arial"/>
          <w:sz w:val="24"/>
          <w:szCs w:val="24"/>
          <w:lang w:eastAsia="ru-RU"/>
        </w:rPr>
        <w:t xml:space="preserve"> подход;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-интеграция интеллектуального, эстетического и физического развития.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V</w:t>
      </w:r>
      <w:r w:rsidRPr="005B5890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. Ожидаемые результаты реализации Программы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- поднять престиж творческой личности в обществе;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- разработать основы для развития одаренности и таланта у детей и молодежи в современных условиях;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- повысить качество образования и воспитания школьников;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- увеличить количество одаренных детей и молодежи, которым оказывается необходимая поддержка;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 xml:space="preserve">- 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увеличить долю школьников, занимающихся в творческих </w:t>
      </w:r>
      <w:proofErr w:type="gramStart"/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художествен-</w:t>
      </w:r>
      <w:proofErr w:type="spellStart"/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ных</w:t>
      </w:r>
      <w:proofErr w:type="spellEnd"/>
      <w:proofErr w:type="gramEnd"/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коллективах от общего числа школьников;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pacing w:val="-10"/>
          <w:sz w:val="24"/>
          <w:szCs w:val="24"/>
          <w:lang w:eastAsia="ru-RU"/>
        </w:rPr>
        <w:t xml:space="preserve">- 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школьников</w:t>
      </w:r>
      <w:r w:rsidRPr="005B5890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, участвующих в муниципальных и республиканских мероприятиях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выявлению и поддержке талантливых детей, от общего числа школьников;</w:t>
      </w:r>
    </w:p>
    <w:p w:rsidR="007B1878" w:rsidRPr="005B5890" w:rsidRDefault="007B1878" w:rsidP="007B1878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увеличить долю школьников, участвующих в работе муниципальных и республиканских органов ученического самоуправления, в разработке и реализации социальных общественно значимых проектов от общего числа школьников;</w:t>
      </w:r>
    </w:p>
    <w:p w:rsidR="007B1878" w:rsidRPr="005B5890" w:rsidRDefault="007B1878" w:rsidP="007B1878">
      <w:pPr>
        <w:tabs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осуществить организационные </w:t>
      </w:r>
      <w:r w:rsidRPr="005B5890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>мероприятия по различным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направлениям;</w:t>
      </w:r>
    </w:p>
    <w:p w:rsidR="007B1878" w:rsidRPr="005B5890" w:rsidRDefault="007B1878" w:rsidP="007B1878">
      <w:pPr>
        <w:tabs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>- осуществить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психолого-педагогическое сопровождение одарённых детей и молодежи, вошедших в банк по одарённым детям и молодежи Бавлинского муниципального района;</w:t>
      </w:r>
    </w:p>
    <w:p w:rsidR="007B1878" w:rsidRPr="005B5890" w:rsidRDefault="007B1878" w:rsidP="007B1878">
      <w:pPr>
        <w:tabs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bCs/>
          <w:spacing w:val="-14"/>
          <w:sz w:val="24"/>
          <w:szCs w:val="24"/>
          <w:lang w:eastAsia="ru-RU"/>
        </w:rPr>
        <w:t xml:space="preserve">- </w:t>
      </w:r>
      <w:r w:rsidRPr="005B5890">
        <w:rPr>
          <w:rFonts w:ascii="Arial" w:eastAsia="Times New Roman" w:hAnsi="Arial" w:cs="Arial"/>
          <w:bCs/>
          <w:sz w:val="24"/>
          <w:szCs w:val="24"/>
          <w:lang w:eastAsia="ru-RU"/>
        </w:rPr>
        <w:t>доступ одарённых и талантливых детей и молодежи к современным информационным ресурсам.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5890">
        <w:rPr>
          <w:rFonts w:ascii="Arial" w:eastAsia="Times New Roman" w:hAnsi="Arial" w:cs="Arial"/>
          <w:sz w:val="24"/>
          <w:szCs w:val="24"/>
          <w:lang w:eastAsia="ru-RU"/>
        </w:rPr>
        <w:t>VII. Мероприятия по реализации Программы</w:t>
      </w:r>
    </w:p>
    <w:p w:rsidR="007B1878" w:rsidRPr="005B5890" w:rsidRDefault="007B1878" w:rsidP="007B187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709"/>
        <w:gridCol w:w="709"/>
        <w:gridCol w:w="708"/>
        <w:gridCol w:w="709"/>
        <w:gridCol w:w="709"/>
        <w:gridCol w:w="850"/>
      </w:tblGrid>
      <w:tr w:rsidR="007B1878" w:rsidRPr="005B5890" w:rsidTr="00A61B7E">
        <w:tc>
          <w:tcPr>
            <w:tcW w:w="567" w:type="dxa"/>
            <w:vMerge w:val="restart"/>
          </w:tcPr>
          <w:p w:rsidR="007B1878" w:rsidRPr="005B5890" w:rsidRDefault="007B1878" w:rsidP="007B187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</w:tcPr>
          <w:p w:rsidR="007B1878" w:rsidRPr="005B5890" w:rsidRDefault="007B1878" w:rsidP="007B187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7B1878" w:rsidRPr="005B5890" w:rsidRDefault="007B1878" w:rsidP="007B187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1417" w:type="dxa"/>
            <w:vMerge w:val="restart"/>
          </w:tcPr>
          <w:p w:rsidR="007B1878" w:rsidRPr="005B5890" w:rsidRDefault="007B1878" w:rsidP="007B1878">
            <w:pPr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</w:p>
          <w:p w:rsidR="007B1878" w:rsidRPr="005B5890" w:rsidRDefault="007B1878" w:rsidP="007B1878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4394" w:type="dxa"/>
            <w:gridSpan w:val="6"/>
          </w:tcPr>
          <w:p w:rsidR="007B1878" w:rsidRPr="005B5890" w:rsidRDefault="007B1878" w:rsidP="007B187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7B1878" w:rsidRPr="005B5890" w:rsidTr="00A61B7E">
        <w:tc>
          <w:tcPr>
            <w:tcW w:w="567" w:type="dxa"/>
            <w:vMerge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</w:tr>
      <w:tr w:rsidR="007B1878" w:rsidRPr="005B5890" w:rsidTr="00A61B7E">
        <w:trPr>
          <w:trHeight w:val="1456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творческо-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конкурса «Минута славы» среди учащихся общеобразовательных учреждений района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7B1878" w:rsidRPr="005B5890" w:rsidTr="00A61B7E">
        <w:trPr>
          <w:trHeight w:val="928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фестиваля игр КВН среди 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работа-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ющей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молодежи района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1190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фестиваля игр КВН среди 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учащих-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общеобразователь-ных</w:t>
            </w:r>
            <w:proofErr w:type="spell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района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918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</w:t>
            </w:r>
            <w:proofErr w:type="spellStart"/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проведе-ние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районного конкурса «Лучший ученик года»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907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районного конкурса «</w:t>
            </w:r>
            <w:proofErr w:type="spellStart"/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Замечатель-ный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вожатый»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537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фестиваля «Парад талантов»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872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спортивного соревнования «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Кэс-Баскет</w:t>
            </w:r>
            <w:proofErr w:type="spell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872"/>
        </w:trPr>
        <w:tc>
          <w:tcPr>
            <w:tcW w:w="56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районной </w:t>
            </w:r>
            <w:proofErr w:type="gram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научно-исследователь-</w:t>
            </w:r>
            <w:proofErr w:type="spellStart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конференции 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B1878" w:rsidRPr="005B5890" w:rsidTr="00A61B7E">
        <w:trPr>
          <w:trHeight w:val="588"/>
        </w:trPr>
        <w:tc>
          <w:tcPr>
            <w:tcW w:w="3828" w:type="dxa"/>
            <w:gridSpan w:val="2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 гг.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7B1878" w:rsidRPr="005B5890" w:rsidRDefault="007B1878" w:rsidP="007B18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7B1878" w:rsidRPr="005B5890" w:rsidRDefault="007B1878" w:rsidP="007B1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8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7B1878" w:rsidRPr="005B5890" w:rsidRDefault="007B1878" w:rsidP="007B1878">
      <w:pPr>
        <w:spacing w:after="0" w:line="36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3402"/>
          <w:tab w:val="left" w:pos="3544"/>
          <w:tab w:val="left" w:pos="6237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7B1878" w:rsidRPr="005B5890" w:rsidRDefault="007B1878" w:rsidP="007B1878">
      <w:pPr>
        <w:tabs>
          <w:tab w:val="left" w:pos="3119"/>
          <w:tab w:val="left" w:pos="3261"/>
          <w:tab w:val="left" w:pos="3544"/>
          <w:tab w:val="left" w:pos="3686"/>
          <w:tab w:val="left" w:pos="6237"/>
          <w:tab w:val="left" w:pos="6379"/>
          <w:tab w:val="left" w:pos="6521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B5890">
        <w:rPr>
          <w:rFonts w:ascii="Arial" w:eastAsia="Calibri" w:hAnsi="Arial" w:cs="Arial"/>
          <w:sz w:val="24"/>
          <w:szCs w:val="24"/>
          <w:lang w:eastAsia="ru-RU"/>
        </w:rPr>
        <w:t>_____________________</w:t>
      </w:r>
    </w:p>
    <w:p w:rsidR="007B1878" w:rsidRPr="005B5890" w:rsidRDefault="007B1878">
      <w:pPr>
        <w:rPr>
          <w:rFonts w:ascii="Arial" w:hAnsi="Arial" w:cs="Arial"/>
          <w:sz w:val="24"/>
          <w:szCs w:val="24"/>
        </w:rPr>
      </w:pPr>
    </w:p>
    <w:sectPr w:rsidR="007B1878" w:rsidRPr="005B5890" w:rsidSect="005B58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00"/>
    <w:rsid w:val="00343CE8"/>
    <w:rsid w:val="003536BC"/>
    <w:rsid w:val="005B5890"/>
    <w:rsid w:val="007B1878"/>
    <w:rsid w:val="009F25D1"/>
    <w:rsid w:val="00EB4900"/>
    <w:rsid w:val="00F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8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7B18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8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7B18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dcterms:created xsi:type="dcterms:W3CDTF">2021-04-02T11:34:00Z</dcterms:created>
  <dcterms:modified xsi:type="dcterms:W3CDTF">2021-04-02T11:34:00Z</dcterms:modified>
</cp:coreProperties>
</file>