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5113" w:type="pct"/>
        <w:tblLook w:val="04A0" w:firstRow="1" w:lastRow="0" w:firstColumn="1" w:lastColumn="0" w:noHBand="0" w:noVBand="1"/>
      </w:tblPr>
      <w:tblGrid>
        <w:gridCol w:w="4623"/>
        <w:gridCol w:w="784"/>
        <w:gridCol w:w="4670"/>
      </w:tblGrid>
      <w:tr w:rsidR="00A56892" w:rsidRPr="00A56892" w:rsidTr="007C487A">
        <w:trPr>
          <w:trHeight w:val="1328"/>
        </w:trPr>
        <w:tc>
          <w:tcPr>
            <w:tcW w:w="2294" w:type="pct"/>
            <w:hideMark/>
          </w:tcPr>
          <w:p w:rsidR="00495FD2" w:rsidRPr="00A56892" w:rsidRDefault="00495FD2" w:rsidP="00A5689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495FD2" w:rsidRPr="00A56892" w:rsidRDefault="00495FD2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495FD2" w:rsidRPr="00A56892" w:rsidRDefault="00495FD2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495FD2" w:rsidRPr="00A56892" w:rsidRDefault="00495FD2" w:rsidP="00A5689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95FD2" w:rsidRPr="00A56892" w:rsidRDefault="00495FD2" w:rsidP="00A5689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495FD2" w:rsidRPr="00A56892" w:rsidRDefault="00495FD2" w:rsidP="00A5689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95FD2" w:rsidRPr="00A56892" w:rsidRDefault="00495FD2" w:rsidP="00A5689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6892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495FD2" w:rsidRPr="00A56892" w:rsidRDefault="00495FD2" w:rsidP="00A5689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56892">
              <w:rPr>
                <w:rFonts w:ascii="Arial" w:hAnsi="Arial" w:cs="Arial"/>
                <w:sz w:val="24"/>
                <w:szCs w:val="24"/>
              </w:rPr>
              <w:t>Ц</w:t>
            </w:r>
            <w:r w:rsidRPr="00A5689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A56892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495FD2" w:rsidRPr="00A56892" w:rsidRDefault="00495FD2" w:rsidP="00A5689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495FD2" w:rsidRPr="00A56892" w:rsidRDefault="00495FD2" w:rsidP="00A5689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A56892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495FD2" w:rsidRPr="00A56892" w:rsidRDefault="00495FD2" w:rsidP="00A5689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495FD2" w:rsidRPr="00A56892" w:rsidRDefault="00495FD2" w:rsidP="00A56892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A56892" w:rsidRPr="00A56892" w:rsidTr="007C487A">
        <w:trPr>
          <w:trHeight w:val="314"/>
        </w:trPr>
        <w:tc>
          <w:tcPr>
            <w:tcW w:w="5000" w:type="pct"/>
          </w:tcPr>
          <w:p w:rsidR="00495FD2" w:rsidRPr="00A56892" w:rsidRDefault="00495FD2" w:rsidP="00A56892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258" w:type="pct"/>
        <w:tblLook w:val="04A0" w:firstRow="1" w:lastRow="0" w:firstColumn="1" w:lastColumn="0" w:noHBand="0" w:noVBand="1"/>
      </w:tblPr>
      <w:tblGrid>
        <w:gridCol w:w="5274"/>
        <w:gridCol w:w="5088"/>
      </w:tblGrid>
      <w:tr w:rsidR="00A56892" w:rsidRPr="00A56892" w:rsidTr="007C487A">
        <w:trPr>
          <w:trHeight w:val="268"/>
        </w:trPr>
        <w:tc>
          <w:tcPr>
            <w:tcW w:w="2545" w:type="pct"/>
            <w:vAlign w:val="center"/>
            <w:hideMark/>
          </w:tcPr>
          <w:p w:rsidR="00495FD2" w:rsidRPr="00A56892" w:rsidRDefault="00495FD2" w:rsidP="00A5689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95FD2" w:rsidRPr="00A56892" w:rsidRDefault="00495FD2" w:rsidP="00A5689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D3753" w:rsidRPr="00A5689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1B9" w:rsidRPr="00A5689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D3753" w:rsidRPr="00A56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1B9" w:rsidRPr="00A5689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56892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A56892" w:rsidRPr="00A56892" w:rsidTr="007C487A">
        <w:trPr>
          <w:trHeight w:val="233"/>
        </w:trPr>
        <w:tc>
          <w:tcPr>
            <w:tcW w:w="5000" w:type="pct"/>
            <w:gridSpan w:val="2"/>
            <w:vAlign w:val="center"/>
            <w:hideMark/>
          </w:tcPr>
          <w:p w:rsidR="00495FD2" w:rsidRPr="00A56892" w:rsidRDefault="00495FD2" w:rsidP="00A5689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 с. Татарский Кандыз</w:t>
            </w:r>
          </w:p>
        </w:tc>
      </w:tr>
    </w:tbl>
    <w:p w:rsidR="004F21B9" w:rsidRPr="00A56892" w:rsidRDefault="004F21B9" w:rsidP="00A56892">
      <w:pPr>
        <w:tabs>
          <w:tab w:val="left" w:pos="7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tabs>
          <w:tab w:val="left" w:pos="5387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56892">
        <w:rPr>
          <w:rFonts w:ascii="Arial" w:hAnsi="Arial" w:cs="Arial"/>
          <w:sz w:val="24"/>
          <w:szCs w:val="24"/>
        </w:rPr>
        <w:t>Об утверждении Порядка формирования перечня налоговых расходов и оценки налоговых расходов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F21B9" w:rsidRPr="00A56892" w:rsidRDefault="004F21B9" w:rsidP="00A56892">
      <w:pPr>
        <w:tabs>
          <w:tab w:val="left" w:pos="5387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в 2020 году</w:t>
      </w:r>
    </w:p>
    <w:bookmarkEnd w:id="0"/>
    <w:p w:rsidR="004F21B9" w:rsidRPr="00A56892" w:rsidRDefault="004F21B9" w:rsidP="00A5689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В соответствии со статьей 174</w:t>
      </w:r>
      <w:r w:rsidRPr="00A56892">
        <w:rPr>
          <w:rFonts w:ascii="Arial" w:hAnsi="Arial" w:cs="Arial"/>
          <w:sz w:val="24"/>
          <w:szCs w:val="24"/>
          <w:vertAlign w:val="superscript"/>
        </w:rPr>
        <w:t>3</w:t>
      </w:r>
      <w:r w:rsidRPr="00A56892">
        <w:rPr>
          <w:rFonts w:ascii="Arial" w:hAnsi="Arial" w:cs="Arial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22 июня 2019 г. №796 «Об общих требованиях к оценке налоговых расходов субъектов Российской Федерации и муниципальных образований», Исполнительный комитет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F21B9" w:rsidRPr="00A56892" w:rsidRDefault="004F21B9" w:rsidP="00A5689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ПОСТАНОВЛЯЕТ:</w:t>
      </w:r>
    </w:p>
    <w:p w:rsidR="004F21B9" w:rsidRPr="00A56892" w:rsidRDefault="004F21B9" w:rsidP="00A56892">
      <w:pPr>
        <w:pStyle w:val="ConsPlusNormal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1.Утвердить прилагаемый Порядок формирования перечня налоговых расходов, и порядок проведения оценки налоговых расходов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56892">
        <w:rPr>
          <w:rFonts w:ascii="Arial" w:hAnsi="Arial" w:cs="Arial"/>
          <w:i/>
          <w:sz w:val="24"/>
          <w:szCs w:val="24"/>
        </w:rPr>
        <w:t>.</w:t>
      </w:r>
    </w:p>
    <w:p w:rsidR="004F21B9" w:rsidRPr="00A56892" w:rsidRDefault="004F21B9" w:rsidP="00A568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2.Предложить Управлению Федеральной налоговой службы по Республике Татарстан до 1 сентября направить в исполнительный комитет муниципального образования сведения за отчетный год, за год, предшествующий отчетному году:</w:t>
      </w:r>
    </w:p>
    <w:p w:rsidR="004F21B9" w:rsidRPr="00A56892" w:rsidRDefault="008702FC" w:rsidP="00A568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о </w:t>
      </w:r>
      <w:r w:rsidR="004F21B9" w:rsidRPr="00A56892">
        <w:rPr>
          <w:rFonts w:ascii="Arial" w:hAnsi="Arial" w:cs="Arial"/>
          <w:sz w:val="24"/>
          <w:szCs w:val="24"/>
        </w:rPr>
        <w:t xml:space="preserve"> количестве плательщиков, воспользовавшихся льготами;</w:t>
      </w:r>
    </w:p>
    <w:p w:rsidR="004F21B9" w:rsidRPr="00A56892" w:rsidRDefault="004F21B9" w:rsidP="00A5689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о</w:t>
      </w:r>
      <w:r w:rsidR="008702FC" w:rsidRPr="00A56892">
        <w:rPr>
          <w:rFonts w:ascii="Arial" w:hAnsi="Arial" w:cs="Arial"/>
          <w:sz w:val="24"/>
          <w:szCs w:val="24"/>
        </w:rPr>
        <w:t xml:space="preserve"> </w:t>
      </w:r>
      <w:r w:rsidRPr="00A56892">
        <w:rPr>
          <w:rFonts w:ascii="Arial" w:hAnsi="Arial" w:cs="Arial"/>
          <w:sz w:val="24"/>
          <w:szCs w:val="24"/>
        </w:rPr>
        <w:t>суммах выпадающих доходов бюджета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 по каждому налоговому расходу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4F21B9" w:rsidRPr="00A56892" w:rsidRDefault="004F21B9" w:rsidP="00A56892">
      <w:pPr>
        <w:pStyle w:val="1"/>
        <w:spacing w:before="0" w:line="276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56892">
        <w:rPr>
          <w:rFonts w:ascii="Arial" w:hAnsi="Arial" w:cs="Arial"/>
          <w:b w:val="0"/>
          <w:sz w:val="24"/>
          <w:szCs w:val="24"/>
        </w:rPr>
        <w:t>3.Контроль за исполнением настоящего постановления оставляю за собой.</w:t>
      </w:r>
    </w:p>
    <w:p w:rsidR="004F21B9" w:rsidRPr="00A56892" w:rsidRDefault="004F21B9" w:rsidP="00A56892">
      <w:pPr>
        <w:pStyle w:val="ConsPlusNormal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56892">
        <w:rPr>
          <w:rFonts w:ascii="Arial" w:hAnsi="Arial" w:cs="Arial"/>
          <w:bCs/>
          <w:sz w:val="24"/>
          <w:szCs w:val="24"/>
        </w:rPr>
        <w:t>4.Настоящее постановление вступает в силу со дня его официального опубликования.</w:t>
      </w:r>
    </w:p>
    <w:p w:rsidR="004F21B9" w:rsidRPr="00A56892" w:rsidRDefault="004F21B9" w:rsidP="00A56892">
      <w:pPr>
        <w:pStyle w:val="ConsPlusNormal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tabs>
          <w:tab w:val="left" w:pos="7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        Руководитель                                                                </w:t>
      </w:r>
      <w:proofErr w:type="spellStart"/>
      <w:r w:rsidRPr="00A56892">
        <w:rPr>
          <w:rFonts w:ascii="Arial" w:hAnsi="Arial" w:cs="Arial"/>
          <w:sz w:val="24"/>
          <w:szCs w:val="24"/>
        </w:rPr>
        <w:t>М.Ш.Насибуллин</w:t>
      </w:r>
      <w:proofErr w:type="spellEnd"/>
    </w:p>
    <w:p w:rsidR="004F21B9" w:rsidRDefault="004F21B9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P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</w:p>
    <w:p w:rsid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4F21B9" w:rsidRPr="00A56892" w:rsidRDefault="00A56892" w:rsidP="00A56892">
      <w:pPr>
        <w:pStyle w:val="ad"/>
        <w:ind w:left="0" w:firstLine="69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21B9" w:rsidRPr="00A56892">
        <w:rPr>
          <w:rFonts w:ascii="Arial" w:hAnsi="Arial" w:cs="Arial"/>
          <w:sz w:val="24"/>
          <w:szCs w:val="24"/>
        </w:rPr>
        <w:t>Утвержден</w:t>
      </w:r>
    </w:p>
    <w:p w:rsidR="004F21B9" w:rsidRPr="00A56892" w:rsidRDefault="004F21B9" w:rsidP="00A56892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lastRenderedPageBreak/>
        <w:t xml:space="preserve">постановлением </w:t>
      </w:r>
    </w:p>
    <w:p w:rsidR="004F21B9" w:rsidRPr="00A56892" w:rsidRDefault="004F21B9" w:rsidP="00A56892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исполнительного комитета</w:t>
      </w:r>
    </w:p>
    <w:p w:rsidR="004F21B9" w:rsidRPr="00A56892" w:rsidRDefault="004F21B9" w:rsidP="00A56892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F21B9" w:rsidRPr="00A56892" w:rsidRDefault="004F21B9" w:rsidP="00A56892">
      <w:pPr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От 31.03.2020г. №7</w:t>
      </w:r>
    </w:p>
    <w:p w:rsidR="004F21B9" w:rsidRPr="00A56892" w:rsidRDefault="004F21B9" w:rsidP="00A56892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jc w:val="center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Порядок</w:t>
      </w:r>
    </w:p>
    <w:p w:rsidR="004F21B9" w:rsidRPr="00A56892" w:rsidRDefault="004F21B9" w:rsidP="00A56892">
      <w:pPr>
        <w:jc w:val="center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формирования перечня налоговых расходов и проведения</w:t>
      </w:r>
    </w:p>
    <w:p w:rsidR="0048174D" w:rsidRPr="00A56892" w:rsidRDefault="004F21B9" w:rsidP="00A56892">
      <w:pPr>
        <w:tabs>
          <w:tab w:val="left" w:pos="4962"/>
        </w:tabs>
        <w:jc w:val="center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оценки налоговых расходов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</w:t>
      </w:r>
      <w:r w:rsidR="0048174D" w:rsidRPr="00A56892">
        <w:rPr>
          <w:rFonts w:ascii="Arial" w:hAnsi="Arial" w:cs="Arial"/>
          <w:sz w:val="24"/>
          <w:szCs w:val="24"/>
        </w:rPr>
        <w:t xml:space="preserve">      </w:t>
      </w:r>
    </w:p>
    <w:p w:rsidR="004F21B9" w:rsidRPr="00A56892" w:rsidRDefault="004F21B9" w:rsidP="00A56892">
      <w:pPr>
        <w:tabs>
          <w:tab w:val="left" w:pos="4962"/>
        </w:tabs>
        <w:jc w:val="center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в 2020 году</w:t>
      </w:r>
    </w:p>
    <w:p w:rsidR="004F21B9" w:rsidRPr="00A56892" w:rsidRDefault="004F21B9" w:rsidP="00A56892">
      <w:pPr>
        <w:tabs>
          <w:tab w:val="left" w:pos="4962"/>
        </w:tabs>
        <w:jc w:val="center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  <w:lang w:val="en-US"/>
        </w:rPr>
        <w:t>I</w:t>
      </w:r>
      <w:r w:rsidRPr="00A56892">
        <w:rPr>
          <w:rFonts w:ascii="Arial" w:hAnsi="Arial" w:cs="Arial"/>
          <w:sz w:val="24"/>
          <w:szCs w:val="24"/>
        </w:rPr>
        <w:t>. Общие положения</w:t>
      </w:r>
    </w:p>
    <w:p w:rsidR="004F21B9" w:rsidRPr="00A56892" w:rsidRDefault="004F21B9" w:rsidP="00A56892">
      <w:pPr>
        <w:pStyle w:val="ad"/>
        <w:ind w:left="0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1. Настоящий Порядок определяет правила формирования перечня налоговых расходов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</w:t>
      </w:r>
      <w:proofErr w:type="spellStart"/>
      <w:r w:rsidRPr="00A56892">
        <w:rPr>
          <w:rFonts w:ascii="Arial" w:hAnsi="Arial" w:cs="Arial"/>
          <w:sz w:val="24"/>
          <w:szCs w:val="24"/>
        </w:rPr>
        <w:t>поселенияи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оценки налоговых расходов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 (далее – Порядок, муниципальное образование).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2. В настоящем Порядке используются термины и понятия, </w:t>
      </w:r>
      <w:proofErr w:type="spellStart"/>
      <w:r w:rsidRPr="00A56892">
        <w:rPr>
          <w:rFonts w:ascii="Arial" w:hAnsi="Arial" w:cs="Arial"/>
          <w:sz w:val="24"/>
          <w:szCs w:val="24"/>
        </w:rPr>
        <w:t>установленныеобщими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-Общие требования).</w:t>
      </w:r>
    </w:p>
    <w:p w:rsidR="004F21B9" w:rsidRPr="00A56892" w:rsidRDefault="004F21B9" w:rsidP="00A568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A56892">
        <w:rPr>
          <w:rFonts w:ascii="Arial" w:hAnsi="Arial" w:cs="Arial"/>
          <w:sz w:val="24"/>
          <w:szCs w:val="24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4. В целях оценки налоговых расходов муниципального </w:t>
      </w:r>
      <w:proofErr w:type="spellStart"/>
      <w:r w:rsidRPr="00A56892">
        <w:rPr>
          <w:rFonts w:ascii="Arial" w:hAnsi="Arial" w:cs="Arial"/>
          <w:sz w:val="24"/>
          <w:szCs w:val="24"/>
        </w:rPr>
        <w:t>образованияисполнительный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комитет муниципального образования: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формирует перечень налоговых расходов</w:t>
      </w:r>
      <w:r w:rsidR="0048174D" w:rsidRPr="00A56892">
        <w:rPr>
          <w:rFonts w:ascii="Arial" w:hAnsi="Arial" w:cs="Arial"/>
          <w:sz w:val="24"/>
          <w:szCs w:val="24"/>
        </w:rPr>
        <w:t xml:space="preserve"> </w:t>
      </w:r>
      <w:r w:rsidRPr="00A56892">
        <w:rPr>
          <w:rFonts w:ascii="Arial" w:hAnsi="Arial" w:cs="Arial"/>
          <w:sz w:val="24"/>
          <w:szCs w:val="24"/>
        </w:rPr>
        <w:t>муниципального образования;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осуществляет анализ и обобщение результатов оценки налоговых </w:t>
      </w:r>
      <w:proofErr w:type="spellStart"/>
      <w:r w:rsidRPr="00A56892">
        <w:rPr>
          <w:rFonts w:ascii="Arial" w:hAnsi="Arial" w:cs="Arial"/>
          <w:sz w:val="24"/>
          <w:szCs w:val="24"/>
        </w:rPr>
        <w:t>расходовмуниципального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образования.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4F21B9" w:rsidRPr="00A56892" w:rsidRDefault="004F21B9" w:rsidP="00A56892">
      <w:pPr>
        <w:pStyle w:val="ad"/>
        <w:ind w:left="0"/>
        <w:jc w:val="center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  <w:lang w:val="en-US"/>
        </w:rPr>
        <w:t>II</w:t>
      </w:r>
      <w:r w:rsidRPr="00A56892">
        <w:rPr>
          <w:rFonts w:ascii="Arial" w:hAnsi="Arial" w:cs="Arial"/>
          <w:sz w:val="24"/>
          <w:szCs w:val="24"/>
        </w:rPr>
        <w:t>. Формирование перечня налоговых расходов муниципального образования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8702FC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6.</w:t>
      </w:r>
      <w:r w:rsidR="008702FC" w:rsidRPr="00A56892">
        <w:rPr>
          <w:rFonts w:ascii="Arial" w:hAnsi="Arial" w:cs="Arial"/>
          <w:sz w:val="24"/>
          <w:szCs w:val="24"/>
        </w:rPr>
        <w:t xml:space="preserve"> </w:t>
      </w:r>
      <w:r w:rsidRPr="00A56892">
        <w:rPr>
          <w:rFonts w:ascii="Arial" w:hAnsi="Arial" w:cs="Arial"/>
          <w:sz w:val="24"/>
          <w:szCs w:val="24"/>
        </w:rPr>
        <w:t>Утвержденный</w:t>
      </w:r>
      <w:r w:rsidR="008702FC" w:rsidRPr="00A56892">
        <w:rPr>
          <w:rFonts w:ascii="Arial" w:hAnsi="Arial" w:cs="Arial"/>
          <w:sz w:val="24"/>
          <w:szCs w:val="24"/>
        </w:rPr>
        <w:t xml:space="preserve">  </w:t>
      </w:r>
      <w:r w:rsidRPr="00A56892">
        <w:rPr>
          <w:rFonts w:ascii="Arial" w:hAnsi="Arial" w:cs="Arial"/>
          <w:sz w:val="24"/>
          <w:szCs w:val="24"/>
        </w:rPr>
        <w:t xml:space="preserve">Перечень </w:t>
      </w:r>
      <w:r w:rsidR="008702FC" w:rsidRPr="00A56892">
        <w:rPr>
          <w:rFonts w:ascii="Arial" w:hAnsi="Arial" w:cs="Arial"/>
          <w:sz w:val="24"/>
          <w:szCs w:val="24"/>
        </w:rPr>
        <w:t xml:space="preserve"> </w:t>
      </w:r>
      <w:r w:rsidRPr="00A56892">
        <w:rPr>
          <w:rFonts w:ascii="Arial" w:hAnsi="Arial" w:cs="Arial"/>
          <w:sz w:val="24"/>
          <w:szCs w:val="24"/>
        </w:rPr>
        <w:t>налоговых расходов</w:t>
      </w:r>
      <w:r w:rsidR="008702FC" w:rsidRPr="00A56892">
        <w:rPr>
          <w:rFonts w:ascii="Arial" w:hAnsi="Arial" w:cs="Arial"/>
          <w:sz w:val="24"/>
          <w:szCs w:val="24"/>
        </w:rPr>
        <w:t xml:space="preserve"> </w:t>
      </w:r>
      <w:r w:rsidRPr="00A56892">
        <w:rPr>
          <w:rFonts w:ascii="Arial" w:hAnsi="Arial" w:cs="Arial"/>
          <w:sz w:val="24"/>
          <w:szCs w:val="24"/>
        </w:rPr>
        <w:t xml:space="preserve"> муниципального</w:t>
      </w:r>
      <w:r w:rsidR="008702FC" w:rsidRPr="00A56892">
        <w:rPr>
          <w:rFonts w:ascii="Arial" w:hAnsi="Arial" w:cs="Arial"/>
          <w:sz w:val="24"/>
          <w:szCs w:val="24"/>
        </w:rPr>
        <w:t xml:space="preserve"> </w:t>
      </w:r>
      <w:r w:rsidRPr="00A56892">
        <w:rPr>
          <w:rFonts w:ascii="Arial" w:hAnsi="Arial" w:cs="Arial"/>
          <w:sz w:val="24"/>
          <w:szCs w:val="24"/>
        </w:rPr>
        <w:t xml:space="preserve"> образования </w:t>
      </w:r>
      <w:r w:rsidR="008702FC" w:rsidRPr="00A56892">
        <w:rPr>
          <w:rFonts w:ascii="Arial" w:hAnsi="Arial" w:cs="Arial"/>
          <w:sz w:val="24"/>
          <w:szCs w:val="24"/>
        </w:rPr>
        <w:t xml:space="preserve"> </w:t>
      </w:r>
      <w:r w:rsidRPr="00A56892">
        <w:rPr>
          <w:rFonts w:ascii="Arial" w:hAnsi="Arial" w:cs="Arial"/>
          <w:sz w:val="24"/>
          <w:szCs w:val="24"/>
        </w:rPr>
        <w:t xml:space="preserve"> размещается на официальном сайте муниципального образования не позднее 1 июля текущего года.</w:t>
      </w:r>
    </w:p>
    <w:p w:rsidR="004F21B9" w:rsidRPr="00A56892" w:rsidRDefault="004F21B9" w:rsidP="00A5689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отчетному.</w:t>
      </w:r>
    </w:p>
    <w:p w:rsidR="004F21B9" w:rsidRPr="00A56892" w:rsidRDefault="004F21B9" w:rsidP="00A5689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A56892">
          <w:rPr>
            <w:rFonts w:ascii="Arial" w:hAnsi="Arial" w:cs="Arial"/>
            <w:sz w:val="24"/>
            <w:szCs w:val="24"/>
          </w:rPr>
          <w:t>приложением</w:t>
        </w:r>
      </w:hyperlink>
      <w:r w:rsidRPr="00A56892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9.В случае принятия нормативных правовых актов, предусматривающих изменение информации, включенной в Перечень налоговых </w:t>
      </w:r>
      <w:proofErr w:type="spellStart"/>
      <w:r w:rsidRPr="00A56892">
        <w:rPr>
          <w:rFonts w:ascii="Arial" w:hAnsi="Arial" w:cs="Arial"/>
          <w:sz w:val="24"/>
          <w:szCs w:val="24"/>
        </w:rPr>
        <w:t>расходовмуниципального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образования, исполнительный комитет муниципального образования в течение 10 рабочих дней с даты вступления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pStyle w:val="ad"/>
        <w:ind w:left="0"/>
        <w:jc w:val="center"/>
        <w:rPr>
          <w:rFonts w:ascii="Arial" w:hAnsi="Arial" w:cs="Arial"/>
          <w:sz w:val="24"/>
          <w:szCs w:val="24"/>
        </w:rPr>
      </w:pPr>
      <w:bookmarkStart w:id="2" w:name="P53"/>
      <w:bookmarkStart w:id="3" w:name="P55"/>
      <w:bookmarkEnd w:id="2"/>
      <w:bookmarkEnd w:id="3"/>
      <w:r w:rsidRPr="00A56892">
        <w:rPr>
          <w:rFonts w:ascii="Arial" w:hAnsi="Arial" w:cs="Arial"/>
          <w:sz w:val="24"/>
          <w:szCs w:val="24"/>
          <w:lang w:val="en-US"/>
        </w:rPr>
        <w:t>III</w:t>
      </w:r>
      <w:r w:rsidRPr="00A56892">
        <w:rPr>
          <w:rFonts w:ascii="Arial" w:hAnsi="Arial" w:cs="Arial"/>
          <w:sz w:val="24"/>
          <w:szCs w:val="24"/>
        </w:rPr>
        <w:t>. Порядок оценки налоговых расходов муниципального образования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10. Оценка налоговых расходов осуществляется исполнительным </w:t>
      </w:r>
      <w:proofErr w:type="spellStart"/>
      <w:r w:rsidRPr="00A56892">
        <w:rPr>
          <w:rFonts w:ascii="Arial" w:hAnsi="Arial" w:cs="Arial"/>
          <w:sz w:val="24"/>
          <w:szCs w:val="24"/>
        </w:rPr>
        <w:t>комитетоммуниципального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образования и включает:</w:t>
      </w:r>
    </w:p>
    <w:p w:rsidR="004F21B9" w:rsidRPr="00A56892" w:rsidRDefault="004F21B9" w:rsidP="00A56892">
      <w:pPr>
        <w:pStyle w:val="ad"/>
        <w:tabs>
          <w:tab w:val="left" w:pos="993"/>
        </w:tabs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-оценку объемов налоговых </w:t>
      </w:r>
      <w:proofErr w:type="spellStart"/>
      <w:r w:rsidRPr="00A56892">
        <w:rPr>
          <w:rFonts w:ascii="Arial" w:hAnsi="Arial" w:cs="Arial"/>
          <w:sz w:val="24"/>
          <w:szCs w:val="24"/>
        </w:rPr>
        <w:t>расходовмуниципального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образования;</w:t>
      </w:r>
    </w:p>
    <w:p w:rsidR="004F21B9" w:rsidRPr="00A56892" w:rsidRDefault="004F21B9" w:rsidP="00A56892">
      <w:pPr>
        <w:pStyle w:val="ad"/>
        <w:tabs>
          <w:tab w:val="left" w:pos="993"/>
        </w:tabs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-оценку эффективности налоговых </w:t>
      </w:r>
      <w:proofErr w:type="spellStart"/>
      <w:r w:rsidRPr="00A56892">
        <w:rPr>
          <w:rFonts w:ascii="Arial" w:hAnsi="Arial" w:cs="Arial"/>
          <w:sz w:val="24"/>
          <w:szCs w:val="24"/>
        </w:rPr>
        <w:t>расходовмуниципального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образования.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11. Оценка эффективности налоговых расходов муниципального </w:t>
      </w:r>
      <w:proofErr w:type="spellStart"/>
      <w:r w:rsidRPr="00A56892">
        <w:rPr>
          <w:rFonts w:ascii="Arial" w:hAnsi="Arial" w:cs="Arial"/>
          <w:sz w:val="24"/>
          <w:szCs w:val="24"/>
        </w:rPr>
        <w:t>образованиявключает</w:t>
      </w:r>
      <w:proofErr w:type="spellEnd"/>
      <w:r w:rsidRPr="00A56892">
        <w:rPr>
          <w:rFonts w:ascii="Arial" w:hAnsi="Arial" w:cs="Arial"/>
          <w:sz w:val="24"/>
          <w:szCs w:val="24"/>
        </w:rPr>
        <w:t>: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- оценку целесообразности налоговых </w:t>
      </w:r>
      <w:proofErr w:type="spellStart"/>
      <w:r w:rsidRPr="00A56892">
        <w:rPr>
          <w:rFonts w:ascii="Arial" w:hAnsi="Arial" w:cs="Arial"/>
          <w:sz w:val="24"/>
          <w:szCs w:val="24"/>
        </w:rPr>
        <w:t>расходовмуниципального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образования;</w:t>
      </w:r>
    </w:p>
    <w:p w:rsidR="004F21B9" w:rsidRPr="00A56892" w:rsidRDefault="004F21B9" w:rsidP="00A56892">
      <w:pPr>
        <w:pStyle w:val="ad"/>
        <w:ind w:left="0" w:firstLine="708"/>
        <w:jc w:val="both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- оценку результативности налоговых </w:t>
      </w:r>
      <w:proofErr w:type="spellStart"/>
      <w:r w:rsidRPr="00A56892">
        <w:rPr>
          <w:rFonts w:ascii="Arial" w:hAnsi="Arial" w:cs="Arial"/>
          <w:sz w:val="24"/>
          <w:szCs w:val="24"/>
        </w:rPr>
        <w:t>расходовмуниципального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образования.</w:t>
      </w: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12.Критериями целесообразности налоговых расходов муниципального образования являются:</w:t>
      </w: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A56892">
        <w:rPr>
          <w:rFonts w:ascii="Arial" w:hAnsi="Arial" w:cs="Arial"/>
          <w:sz w:val="24"/>
          <w:szCs w:val="24"/>
        </w:rPr>
        <w:t>,</w:t>
      </w:r>
      <w:r w:rsidRPr="00A56892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востребованность налогоплательщиками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предоставленных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налоговых льгот,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которые характеризуются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>соотношением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численности плательщиков, воспользовавшихся 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>правом на льготы, и общей численности плательщиков  за пятилетний период.</w:t>
      </w: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A56892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A56892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отчетному, </w:t>
      </w:r>
      <w:r w:rsidR="0048174D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на текущий финансовый год, очередной финансовый год и плановый период. </w:t>
      </w:r>
    </w:p>
    <w:p w:rsidR="004F21B9" w:rsidRPr="00A56892" w:rsidRDefault="004F21B9" w:rsidP="00A5689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4F21B9" w:rsidRPr="00A56892" w:rsidRDefault="004F21B9" w:rsidP="00A5689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4F21B9" w:rsidRPr="00A56892" w:rsidRDefault="004F21B9" w:rsidP="00A5689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15. 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4F21B9" w:rsidRPr="00A56892" w:rsidRDefault="004F21B9" w:rsidP="00A5689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16. 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на 1 рубль налоговых расходов муниципальных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программ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муниципального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образования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и на 1 рубль расходов </w:t>
      </w:r>
      <w:r w:rsidR="008702F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4F21B9" w:rsidRPr="00A56892" w:rsidRDefault="004F21B9" w:rsidP="00A56892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В качестве альтернативных механизмов</w:t>
      </w:r>
      <w:r w:rsidR="008F62C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достижения</w:t>
      </w:r>
      <w:r w:rsidR="008F62C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 xml:space="preserve"> целей </w:t>
      </w:r>
      <w:r w:rsidR="008F62CC" w:rsidRPr="00A56892">
        <w:rPr>
          <w:rFonts w:ascii="Arial" w:eastAsia="Calibri" w:hAnsi="Arial" w:cs="Arial"/>
          <w:sz w:val="24"/>
          <w:szCs w:val="24"/>
        </w:rPr>
        <w:t xml:space="preserve"> </w:t>
      </w:r>
      <w:r w:rsidRPr="00A56892">
        <w:rPr>
          <w:rFonts w:ascii="Arial" w:eastAsia="Calibri" w:hAnsi="Arial" w:cs="Arial"/>
          <w:sz w:val="24"/>
          <w:szCs w:val="24"/>
        </w:rPr>
        <w:t>муниципальной программы муниципального образования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4F21B9" w:rsidRPr="00A56892" w:rsidRDefault="004F21B9" w:rsidP="00A56892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4F21B9" w:rsidRPr="00A56892" w:rsidRDefault="004F21B9" w:rsidP="00A56892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б) предоставление муниципальных гарантий по обязательствам плательщиков, имеющих право на льготы;</w:t>
      </w:r>
    </w:p>
    <w:p w:rsidR="004F21B9" w:rsidRPr="00A56892" w:rsidRDefault="004F21B9" w:rsidP="00A56892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A56892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F21B9" w:rsidRPr="00A56892" w:rsidRDefault="004F21B9" w:rsidP="00A56892">
      <w:pPr>
        <w:spacing w:line="276" w:lineRule="auto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17. Оценка налоговых расходов муниципального образования осуществляется до 1 октября и содержит:</w:t>
      </w:r>
    </w:p>
    <w:p w:rsidR="004F21B9" w:rsidRPr="00A56892" w:rsidRDefault="004F21B9" w:rsidP="00A56892">
      <w:pPr>
        <w:spacing w:line="276" w:lineRule="auto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- информацию по Перечню показателей для проведения оценки налоговых расходов;</w:t>
      </w:r>
    </w:p>
    <w:p w:rsidR="004F21B9" w:rsidRPr="00A56892" w:rsidRDefault="004F21B9" w:rsidP="00A56892">
      <w:pPr>
        <w:spacing w:line="276" w:lineRule="auto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</w:t>
      </w:r>
    </w:p>
    <w:p w:rsidR="004F21B9" w:rsidRPr="00A56892" w:rsidRDefault="004F21B9" w:rsidP="00A56892">
      <w:pPr>
        <w:spacing w:line="276" w:lineRule="auto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- предложения о наличии (отсутствии) более результативных альтернативных механизмов их достижения;</w:t>
      </w:r>
    </w:p>
    <w:p w:rsidR="004F21B9" w:rsidRPr="00A56892" w:rsidRDefault="004F21B9" w:rsidP="00A56892">
      <w:pPr>
        <w:spacing w:line="276" w:lineRule="auto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4F21B9" w:rsidRPr="00A56892" w:rsidRDefault="004F21B9" w:rsidP="00A56892">
      <w:pPr>
        <w:spacing w:line="276" w:lineRule="auto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4F21B9" w:rsidRPr="00A56892" w:rsidRDefault="004F21B9" w:rsidP="00A56892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:rsidR="004F21B9" w:rsidRPr="00A56892" w:rsidRDefault="004F21B9" w:rsidP="00A56892">
      <w:pPr>
        <w:rPr>
          <w:rFonts w:ascii="Arial" w:eastAsia="Calibri" w:hAnsi="Arial" w:cs="Arial"/>
          <w:sz w:val="24"/>
          <w:szCs w:val="24"/>
          <w:highlight w:val="yellow"/>
        </w:rPr>
      </w:pP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4F21B9" w:rsidRPr="00A56892" w:rsidRDefault="004F21B9" w:rsidP="00A56892">
      <w:pPr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A56892" w:rsidRDefault="00A56892" w:rsidP="00A56892">
      <w:pPr>
        <w:tabs>
          <w:tab w:val="left" w:pos="4962"/>
        </w:tabs>
        <w:jc w:val="right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tabs>
          <w:tab w:val="left" w:pos="4962"/>
        </w:tabs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 </w:t>
      </w:r>
      <w:r w:rsidR="00132D39" w:rsidRPr="00A56892">
        <w:rPr>
          <w:rFonts w:ascii="Arial" w:hAnsi="Arial" w:cs="Arial"/>
          <w:sz w:val="24"/>
          <w:szCs w:val="24"/>
        </w:rPr>
        <w:t>Приложение</w:t>
      </w:r>
    </w:p>
    <w:p w:rsidR="004F21B9" w:rsidRPr="00A56892" w:rsidRDefault="004F21B9" w:rsidP="00A56892">
      <w:pPr>
        <w:tabs>
          <w:tab w:val="left" w:pos="4962"/>
        </w:tabs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к Порядку формирования </w:t>
      </w:r>
    </w:p>
    <w:p w:rsidR="004F21B9" w:rsidRPr="00A56892" w:rsidRDefault="004F21B9" w:rsidP="00A56892">
      <w:pPr>
        <w:tabs>
          <w:tab w:val="left" w:pos="4962"/>
        </w:tabs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перечня налоговых расходов и проведения оценки налоговых расходов 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F21B9" w:rsidRPr="00A56892" w:rsidRDefault="004F21B9" w:rsidP="00A56892">
      <w:pPr>
        <w:tabs>
          <w:tab w:val="left" w:pos="4962"/>
        </w:tabs>
        <w:jc w:val="right"/>
        <w:rPr>
          <w:rFonts w:ascii="Arial" w:hAnsi="Arial" w:cs="Arial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 xml:space="preserve"> 2020 году</w:t>
      </w:r>
    </w:p>
    <w:p w:rsidR="004F21B9" w:rsidRPr="00A56892" w:rsidRDefault="004F21B9" w:rsidP="00A56892">
      <w:pPr>
        <w:tabs>
          <w:tab w:val="left" w:pos="4962"/>
        </w:tabs>
        <w:jc w:val="right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autoSpaceDE w:val="0"/>
        <w:autoSpaceDN w:val="0"/>
        <w:adjustRightInd w:val="0"/>
        <w:jc w:val="center"/>
        <w:rPr>
          <w:rFonts w:ascii="Arial" w:hAnsi="Arial" w:cs="Arial"/>
          <w:spacing w:val="-4"/>
          <w:sz w:val="24"/>
          <w:szCs w:val="24"/>
        </w:rPr>
      </w:pPr>
      <w:r w:rsidRPr="00A56892">
        <w:rPr>
          <w:rFonts w:ascii="Arial" w:hAnsi="Arial" w:cs="Arial"/>
          <w:spacing w:val="-4"/>
          <w:sz w:val="24"/>
          <w:szCs w:val="24"/>
        </w:rPr>
        <w:t xml:space="preserve">Перечень показателей для проведения оценки налоговых расходов </w:t>
      </w:r>
    </w:p>
    <w:p w:rsidR="004F21B9" w:rsidRPr="00A56892" w:rsidRDefault="004F21B9" w:rsidP="00A56892">
      <w:pPr>
        <w:autoSpaceDE w:val="0"/>
        <w:autoSpaceDN w:val="0"/>
        <w:adjustRightInd w:val="0"/>
        <w:jc w:val="center"/>
        <w:rPr>
          <w:rFonts w:ascii="Arial" w:hAnsi="Arial" w:cs="Arial"/>
          <w:spacing w:val="-4"/>
          <w:sz w:val="24"/>
          <w:szCs w:val="24"/>
        </w:rPr>
      </w:pPr>
      <w:r w:rsidRPr="00A56892">
        <w:rPr>
          <w:rFonts w:ascii="Arial" w:hAnsi="Arial" w:cs="Arial"/>
          <w:sz w:val="24"/>
          <w:szCs w:val="24"/>
        </w:rPr>
        <w:t>Татарско-</w:t>
      </w:r>
      <w:proofErr w:type="spellStart"/>
      <w:r w:rsidRPr="00A56892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A56892">
        <w:rPr>
          <w:rFonts w:ascii="Arial" w:hAnsi="Arial" w:cs="Arial"/>
          <w:spacing w:val="-4"/>
          <w:sz w:val="24"/>
          <w:szCs w:val="24"/>
        </w:rPr>
        <w:t xml:space="preserve"> сельского поселения</w:t>
      </w:r>
    </w:p>
    <w:p w:rsidR="004F21B9" w:rsidRPr="00A56892" w:rsidRDefault="004F21B9" w:rsidP="00A56892">
      <w:pPr>
        <w:autoSpaceDE w:val="0"/>
        <w:autoSpaceDN w:val="0"/>
        <w:adjustRightInd w:val="0"/>
        <w:jc w:val="center"/>
        <w:rPr>
          <w:rFonts w:ascii="Arial" w:hAnsi="Arial" w:cs="Arial"/>
          <w:spacing w:val="-4"/>
          <w:sz w:val="24"/>
          <w:szCs w:val="24"/>
        </w:rPr>
      </w:pPr>
    </w:p>
    <w:p w:rsidR="004F21B9" w:rsidRPr="00A56892" w:rsidRDefault="004F21B9" w:rsidP="00A56892">
      <w:pPr>
        <w:autoSpaceDE w:val="0"/>
        <w:autoSpaceDN w:val="0"/>
        <w:adjustRightInd w:val="0"/>
        <w:jc w:val="both"/>
        <w:rPr>
          <w:rFonts w:ascii="Arial" w:hAnsi="Arial" w:cs="Arial"/>
          <w:i/>
          <w:spacing w:val="-4"/>
          <w:sz w:val="24"/>
          <w:szCs w:val="24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6501"/>
        <w:gridCol w:w="3106"/>
      </w:tblGrid>
      <w:tr w:rsidR="00A56892" w:rsidRPr="00A56892" w:rsidTr="00E8667F">
        <w:tc>
          <w:tcPr>
            <w:tcW w:w="0" w:type="auto"/>
            <w:gridSpan w:val="2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</w:tr>
      <w:tr w:rsidR="00A56892" w:rsidRPr="00A56892" w:rsidTr="00E8667F">
        <w:tc>
          <w:tcPr>
            <w:tcW w:w="10065" w:type="dxa"/>
            <w:gridSpan w:val="3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.Нормативные и целевые характеристики налогового 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расходамуниципального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Нормативный правовой 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актмуниципального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образования, устанавливающий налоговые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 по налогам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Условия предоставления налоговых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нормативнымиправовыми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актамимуниципального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Дата вступления в силу положений  нормативных правовых актов муниципального образования, устанавливающих налоговые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 по налогам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нормативными правовыми актами муниципального образования права на налоговые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Период действия налоговых 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Дата прекращения действия налоговых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Наименование налоговых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rPr>
          <w:trHeight w:val="928"/>
        </w:trPr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Цели предоставления  налоговых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</w:t>
            </w:r>
            <w:proofErr w:type="spellStart"/>
            <w:r w:rsidRPr="00A56892">
              <w:rPr>
                <w:rFonts w:ascii="Arial" w:eastAsia="Calibri" w:hAnsi="Arial" w:cs="Arial"/>
                <w:sz w:val="24"/>
                <w:szCs w:val="24"/>
              </w:rPr>
              <w:t>установленных</w:t>
            </w:r>
            <w:r w:rsidRPr="00A56892">
              <w:rPr>
                <w:rFonts w:ascii="Arial" w:hAnsi="Arial" w:cs="Arial"/>
                <w:sz w:val="24"/>
                <w:szCs w:val="24"/>
              </w:rPr>
              <w:t>нормативными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правовыми актами муниципального образования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Наименования налогов, по которым предусматриваются налоговые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</w:t>
            </w:r>
            <w:r w:rsidRPr="00A56892">
              <w:rPr>
                <w:rFonts w:ascii="Arial" w:hAnsi="Arial" w:cs="Arial"/>
                <w:sz w:val="24"/>
                <w:szCs w:val="24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Вид налоговых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rPr>
          <w:trHeight w:val="939"/>
        </w:trPr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rPr>
          <w:trHeight w:val="292"/>
        </w:trPr>
        <w:tc>
          <w:tcPr>
            <w:tcW w:w="10065" w:type="dxa"/>
            <w:gridSpan w:val="3"/>
          </w:tcPr>
          <w:p w:rsidR="004F21B9" w:rsidRPr="00A56892" w:rsidRDefault="004F21B9" w:rsidP="00A56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Фискальныехарактеристики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налогового расхода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образованияза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отчетный год и за год, предшествующий отчетному году (тыс. рублей)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A56892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Pr="00A56892">
              <w:rPr>
                <w:rFonts w:ascii="Arial" w:hAnsi="Arial" w:cs="Arial"/>
                <w:sz w:val="24"/>
                <w:szCs w:val="24"/>
              </w:rPr>
              <w:t xml:space="preserve">правовыми </w:t>
            </w:r>
            <w:proofErr w:type="spellStart"/>
            <w:r w:rsidRPr="00A56892">
              <w:rPr>
                <w:rFonts w:ascii="Arial" w:hAnsi="Arial" w:cs="Arial"/>
                <w:sz w:val="24"/>
                <w:szCs w:val="24"/>
              </w:rPr>
              <w:t>актамимуниципального</w:t>
            </w:r>
            <w:proofErr w:type="spellEnd"/>
            <w:r w:rsidRPr="00A56892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A56892" w:rsidRPr="00A56892" w:rsidTr="00E8667F"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F21B9" w:rsidRPr="00A56892" w:rsidRDefault="004F21B9" w:rsidP="00A5689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106" w:type="dxa"/>
          </w:tcPr>
          <w:p w:rsidR="004F21B9" w:rsidRPr="00A56892" w:rsidRDefault="004F21B9" w:rsidP="00A5689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56892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</w:t>
            </w:r>
          </w:p>
        </w:tc>
      </w:tr>
    </w:tbl>
    <w:p w:rsidR="004F21B9" w:rsidRPr="00A56892" w:rsidRDefault="004F21B9" w:rsidP="00A56892">
      <w:pPr>
        <w:jc w:val="both"/>
        <w:rPr>
          <w:rFonts w:ascii="Arial" w:eastAsia="Calibri" w:hAnsi="Arial" w:cs="Arial"/>
          <w:sz w:val="24"/>
          <w:szCs w:val="24"/>
        </w:rPr>
      </w:pPr>
    </w:p>
    <w:p w:rsidR="004F21B9" w:rsidRPr="00A56892" w:rsidRDefault="004F21B9" w:rsidP="00A56892">
      <w:pPr>
        <w:tabs>
          <w:tab w:val="left" w:pos="722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21B9" w:rsidRPr="00A56892" w:rsidRDefault="004F21B9" w:rsidP="00A56892">
      <w:pPr>
        <w:tabs>
          <w:tab w:val="left" w:pos="722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4F21B9" w:rsidRPr="00A56892" w:rsidSect="00A56892">
      <w:headerReference w:type="even" r:id="rId10"/>
      <w:headerReference w:type="default" r:id="rId11"/>
      <w:pgSz w:w="11906" w:h="16838" w:code="9"/>
      <w:pgMar w:top="1134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D6" w:rsidRDefault="009623D6">
      <w:r>
        <w:separator/>
      </w:r>
    </w:p>
  </w:endnote>
  <w:endnote w:type="continuationSeparator" w:id="0">
    <w:p w:rsidR="009623D6" w:rsidRDefault="0096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D6" w:rsidRDefault="009623D6">
      <w:r>
        <w:separator/>
      </w:r>
    </w:p>
  </w:footnote>
  <w:footnote w:type="continuationSeparator" w:id="0">
    <w:p w:rsidR="009623D6" w:rsidRDefault="0096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5412E2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0B82"/>
    <w:rsid w:val="00015603"/>
    <w:rsid w:val="00022319"/>
    <w:rsid w:val="00024192"/>
    <w:rsid w:val="00025725"/>
    <w:rsid w:val="00031C27"/>
    <w:rsid w:val="0003624E"/>
    <w:rsid w:val="00037E14"/>
    <w:rsid w:val="00040A2F"/>
    <w:rsid w:val="0004101A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1F5"/>
    <w:rsid w:val="000C135F"/>
    <w:rsid w:val="000C3FAA"/>
    <w:rsid w:val="000C4594"/>
    <w:rsid w:val="000C6CE3"/>
    <w:rsid w:val="000D4C15"/>
    <w:rsid w:val="000E04B6"/>
    <w:rsid w:val="000E1AAE"/>
    <w:rsid w:val="000E2A2F"/>
    <w:rsid w:val="000F248A"/>
    <w:rsid w:val="000F2A7C"/>
    <w:rsid w:val="00101175"/>
    <w:rsid w:val="00103816"/>
    <w:rsid w:val="001060D3"/>
    <w:rsid w:val="0010774D"/>
    <w:rsid w:val="00114325"/>
    <w:rsid w:val="00120068"/>
    <w:rsid w:val="00132D39"/>
    <w:rsid w:val="0013426D"/>
    <w:rsid w:val="00136A86"/>
    <w:rsid w:val="00144D0C"/>
    <w:rsid w:val="00145B5A"/>
    <w:rsid w:val="0015610C"/>
    <w:rsid w:val="00161DB3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C3ABA"/>
    <w:rsid w:val="001D0C9B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451"/>
    <w:rsid w:val="002136B8"/>
    <w:rsid w:val="00213C95"/>
    <w:rsid w:val="00214CF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1E0F"/>
    <w:rsid w:val="0029242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7C31"/>
    <w:rsid w:val="00303DE3"/>
    <w:rsid w:val="00306844"/>
    <w:rsid w:val="0032270B"/>
    <w:rsid w:val="00322864"/>
    <w:rsid w:val="003240E9"/>
    <w:rsid w:val="00324322"/>
    <w:rsid w:val="00337A6D"/>
    <w:rsid w:val="0035192F"/>
    <w:rsid w:val="00356E78"/>
    <w:rsid w:val="00364119"/>
    <w:rsid w:val="00365C87"/>
    <w:rsid w:val="00372B85"/>
    <w:rsid w:val="00381D57"/>
    <w:rsid w:val="00382A7E"/>
    <w:rsid w:val="00396010"/>
    <w:rsid w:val="003976D0"/>
    <w:rsid w:val="003C2948"/>
    <w:rsid w:val="003D1294"/>
    <w:rsid w:val="003D2FCD"/>
    <w:rsid w:val="003D4FA2"/>
    <w:rsid w:val="003D55AA"/>
    <w:rsid w:val="003D71D3"/>
    <w:rsid w:val="003E03EE"/>
    <w:rsid w:val="003E133B"/>
    <w:rsid w:val="003E1FE0"/>
    <w:rsid w:val="003E25F6"/>
    <w:rsid w:val="003E49F3"/>
    <w:rsid w:val="003E5548"/>
    <w:rsid w:val="003E6B3E"/>
    <w:rsid w:val="003F1631"/>
    <w:rsid w:val="003F1A38"/>
    <w:rsid w:val="003F2E0F"/>
    <w:rsid w:val="00407A65"/>
    <w:rsid w:val="00411991"/>
    <w:rsid w:val="00421F92"/>
    <w:rsid w:val="004260B5"/>
    <w:rsid w:val="00440CC2"/>
    <w:rsid w:val="00450961"/>
    <w:rsid w:val="00457174"/>
    <w:rsid w:val="004649A8"/>
    <w:rsid w:val="004701B6"/>
    <w:rsid w:val="0047363B"/>
    <w:rsid w:val="00473927"/>
    <w:rsid w:val="0047654A"/>
    <w:rsid w:val="00481071"/>
    <w:rsid w:val="0048174D"/>
    <w:rsid w:val="00484214"/>
    <w:rsid w:val="0048690C"/>
    <w:rsid w:val="00486919"/>
    <w:rsid w:val="004936C9"/>
    <w:rsid w:val="00494EC9"/>
    <w:rsid w:val="00495FD2"/>
    <w:rsid w:val="00496BBD"/>
    <w:rsid w:val="0049757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06CE"/>
    <w:rsid w:val="004E31E4"/>
    <w:rsid w:val="004E54DA"/>
    <w:rsid w:val="004E6187"/>
    <w:rsid w:val="004E6670"/>
    <w:rsid w:val="004F21B9"/>
    <w:rsid w:val="004F5B95"/>
    <w:rsid w:val="00501CD5"/>
    <w:rsid w:val="00503078"/>
    <w:rsid w:val="00511735"/>
    <w:rsid w:val="00511E6F"/>
    <w:rsid w:val="00517708"/>
    <w:rsid w:val="0051785E"/>
    <w:rsid w:val="005222F8"/>
    <w:rsid w:val="00534CDC"/>
    <w:rsid w:val="005412E2"/>
    <w:rsid w:val="0054456E"/>
    <w:rsid w:val="00553D07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1870"/>
    <w:rsid w:val="005D29A8"/>
    <w:rsid w:val="005E5C30"/>
    <w:rsid w:val="005F2238"/>
    <w:rsid w:val="005F7662"/>
    <w:rsid w:val="00600E5D"/>
    <w:rsid w:val="00613D3E"/>
    <w:rsid w:val="00615BE1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A2BB6"/>
    <w:rsid w:val="006B2CCC"/>
    <w:rsid w:val="006C5862"/>
    <w:rsid w:val="006D18B8"/>
    <w:rsid w:val="006D4994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73DC"/>
    <w:rsid w:val="00735D06"/>
    <w:rsid w:val="00736BB6"/>
    <w:rsid w:val="00737FF9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1C"/>
    <w:rsid w:val="007774B2"/>
    <w:rsid w:val="007844C9"/>
    <w:rsid w:val="007872D9"/>
    <w:rsid w:val="007A02EB"/>
    <w:rsid w:val="007A1CFE"/>
    <w:rsid w:val="007B1F22"/>
    <w:rsid w:val="007B4D59"/>
    <w:rsid w:val="007B5C7D"/>
    <w:rsid w:val="007C50EB"/>
    <w:rsid w:val="007D1EBA"/>
    <w:rsid w:val="007D2413"/>
    <w:rsid w:val="007D62A9"/>
    <w:rsid w:val="007D76E8"/>
    <w:rsid w:val="007E5643"/>
    <w:rsid w:val="007E6ABE"/>
    <w:rsid w:val="007E7C47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02FC"/>
    <w:rsid w:val="00870C98"/>
    <w:rsid w:val="00876799"/>
    <w:rsid w:val="0088030B"/>
    <w:rsid w:val="00880705"/>
    <w:rsid w:val="0088273E"/>
    <w:rsid w:val="008835F9"/>
    <w:rsid w:val="0088596E"/>
    <w:rsid w:val="00891AB9"/>
    <w:rsid w:val="008B4902"/>
    <w:rsid w:val="008D4568"/>
    <w:rsid w:val="008D5F2E"/>
    <w:rsid w:val="008E554A"/>
    <w:rsid w:val="008F3825"/>
    <w:rsid w:val="008F5339"/>
    <w:rsid w:val="008F62CC"/>
    <w:rsid w:val="009104C9"/>
    <w:rsid w:val="00912652"/>
    <w:rsid w:val="009207EB"/>
    <w:rsid w:val="009213C9"/>
    <w:rsid w:val="00924BE4"/>
    <w:rsid w:val="009439A8"/>
    <w:rsid w:val="0094724B"/>
    <w:rsid w:val="00950E09"/>
    <w:rsid w:val="00955E5E"/>
    <w:rsid w:val="00956F93"/>
    <w:rsid w:val="009600B4"/>
    <w:rsid w:val="00961CCF"/>
    <w:rsid w:val="009623D6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B794F"/>
    <w:rsid w:val="009C5EB2"/>
    <w:rsid w:val="009C6D4E"/>
    <w:rsid w:val="009C7EC4"/>
    <w:rsid w:val="009D1125"/>
    <w:rsid w:val="009D7ADE"/>
    <w:rsid w:val="009E1543"/>
    <w:rsid w:val="009E6482"/>
    <w:rsid w:val="009F0CFD"/>
    <w:rsid w:val="009F3601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5507"/>
    <w:rsid w:val="00A56892"/>
    <w:rsid w:val="00A56D36"/>
    <w:rsid w:val="00A5761F"/>
    <w:rsid w:val="00A57CDA"/>
    <w:rsid w:val="00A650C4"/>
    <w:rsid w:val="00A66A30"/>
    <w:rsid w:val="00A7099F"/>
    <w:rsid w:val="00A739AD"/>
    <w:rsid w:val="00A76AB0"/>
    <w:rsid w:val="00A8194A"/>
    <w:rsid w:val="00A81A3E"/>
    <w:rsid w:val="00A84644"/>
    <w:rsid w:val="00A9140E"/>
    <w:rsid w:val="00A91F51"/>
    <w:rsid w:val="00A93865"/>
    <w:rsid w:val="00AA44F5"/>
    <w:rsid w:val="00AA4EE9"/>
    <w:rsid w:val="00AC2D59"/>
    <w:rsid w:val="00AC59B7"/>
    <w:rsid w:val="00AC6D34"/>
    <w:rsid w:val="00AD275B"/>
    <w:rsid w:val="00AD3753"/>
    <w:rsid w:val="00AD43B1"/>
    <w:rsid w:val="00AD531C"/>
    <w:rsid w:val="00AE468C"/>
    <w:rsid w:val="00AE509D"/>
    <w:rsid w:val="00AE60EE"/>
    <w:rsid w:val="00AE648B"/>
    <w:rsid w:val="00AF0BE4"/>
    <w:rsid w:val="00AF3FA1"/>
    <w:rsid w:val="00AF4E5F"/>
    <w:rsid w:val="00AF6106"/>
    <w:rsid w:val="00AF7D0E"/>
    <w:rsid w:val="00B0623A"/>
    <w:rsid w:val="00B16221"/>
    <w:rsid w:val="00B16520"/>
    <w:rsid w:val="00B17A2B"/>
    <w:rsid w:val="00B20BA2"/>
    <w:rsid w:val="00B25FB4"/>
    <w:rsid w:val="00B332CE"/>
    <w:rsid w:val="00B33B89"/>
    <w:rsid w:val="00B35D4B"/>
    <w:rsid w:val="00B500A7"/>
    <w:rsid w:val="00B52CE2"/>
    <w:rsid w:val="00B55B8A"/>
    <w:rsid w:val="00B62704"/>
    <w:rsid w:val="00B70B02"/>
    <w:rsid w:val="00B71EFF"/>
    <w:rsid w:val="00B75CD5"/>
    <w:rsid w:val="00B80527"/>
    <w:rsid w:val="00B92BC8"/>
    <w:rsid w:val="00BA15BB"/>
    <w:rsid w:val="00BA4847"/>
    <w:rsid w:val="00BC1154"/>
    <w:rsid w:val="00BD7B5C"/>
    <w:rsid w:val="00BE4117"/>
    <w:rsid w:val="00BE6101"/>
    <w:rsid w:val="00BF34D6"/>
    <w:rsid w:val="00BF4FDA"/>
    <w:rsid w:val="00C01B1E"/>
    <w:rsid w:val="00C15115"/>
    <w:rsid w:val="00C223AB"/>
    <w:rsid w:val="00C2249C"/>
    <w:rsid w:val="00C26A02"/>
    <w:rsid w:val="00C35D66"/>
    <w:rsid w:val="00C366E6"/>
    <w:rsid w:val="00C417B0"/>
    <w:rsid w:val="00C43F0D"/>
    <w:rsid w:val="00C46237"/>
    <w:rsid w:val="00C501C4"/>
    <w:rsid w:val="00C5029B"/>
    <w:rsid w:val="00C52909"/>
    <w:rsid w:val="00C54A9D"/>
    <w:rsid w:val="00C57DE9"/>
    <w:rsid w:val="00C57E09"/>
    <w:rsid w:val="00C7198E"/>
    <w:rsid w:val="00C71DD7"/>
    <w:rsid w:val="00C816CC"/>
    <w:rsid w:val="00C8198B"/>
    <w:rsid w:val="00C847F5"/>
    <w:rsid w:val="00C86FDA"/>
    <w:rsid w:val="00C901AB"/>
    <w:rsid w:val="00C959E1"/>
    <w:rsid w:val="00CA37C1"/>
    <w:rsid w:val="00CA7EE4"/>
    <w:rsid w:val="00CB169B"/>
    <w:rsid w:val="00CB4648"/>
    <w:rsid w:val="00CB4DFC"/>
    <w:rsid w:val="00CB657F"/>
    <w:rsid w:val="00CB7931"/>
    <w:rsid w:val="00CC0848"/>
    <w:rsid w:val="00CD7833"/>
    <w:rsid w:val="00CE392F"/>
    <w:rsid w:val="00CF0E61"/>
    <w:rsid w:val="00CF5368"/>
    <w:rsid w:val="00D15955"/>
    <w:rsid w:val="00D21DB8"/>
    <w:rsid w:val="00D3370F"/>
    <w:rsid w:val="00D3776C"/>
    <w:rsid w:val="00D43C6A"/>
    <w:rsid w:val="00D45EED"/>
    <w:rsid w:val="00D46723"/>
    <w:rsid w:val="00D47FCC"/>
    <w:rsid w:val="00D51AC1"/>
    <w:rsid w:val="00D54424"/>
    <w:rsid w:val="00D56818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55D6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38E5"/>
    <w:rsid w:val="00E15031"/>
    <w:rsid w:val="00E15845"/>
    <w:rsid w:val="00E162BD"/>
    <w:rsid w:val="00E20C91"/>
    <w:rsid w:val="00E21157"/>
    <w:rsid w:val="00E2341A"/>
    <w:rsid w:val="00E305CD"/>
    <w:rsid w:val="00E365A1"/>
    <w:rsid w:val="00E41267"/>
    <w:rsid w:val="00E430A3"/>
    <w:rsid w:val="00E446DB"/>
    <w:rsid w:val="00E51040"/>
    <w:rsid w:val="00E52740"/>
    <w:rsid w:val="00E56006"/>
    <w:rsid w:val="00E60867"/>
    <w:rsid w:val="00E62BF5"/>
    <w:rsid w:val="00E6512E"/>
    <w:rsid w:val="00E658D9"/>
    <w:rsid w:val="00E662B8"/>
    <w:rsid w:val="00E740A5"/>
    <w:rsid w:val="00E74F86"/>
    <w:rsid w:val="00E7537C"/>
    <w:rsid w:val="00E7611F"/>
    <w:rsid w:val="00E76A61"/>
    <w:rsid w:val="00E77722"/>
    <w:rsid w:val="00E85983"/>
    <w:rsid w:val="00E97746"/>
    <w:rsid w:val="00EA4CFD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317A"/>
    <w:rsid w:val="00F05688"/>
    <w:rsid w:val="00F105C7"/>
    <w:rsid w:val="00F2185D"/>
    <w:rsid w:val="00F259E5"/>
    <w:rsid w:val="00F27D7A"/>
    <w:rsid w:val="00F34067"/>
    <w:rsid w:val="00F35987"/>
    <w:rsid w:val="00F4380E"/>
    <w:rsid w:val="00F51256"/>
    <w:rsid w:val="00F524FF"/>
    <w:rsid w:val="00F52B73"/>
    <w:rsid w:val="00F55E77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  <w:rsid w:val="00FF1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HEADERTEXT">
    <w:name w:val=".HEADERTEXT"/>
    <w:uiPriority w:val="99"/>
    <w:rsid w:val="00495FD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rsid w:val="004F21B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HEADERTEXT">
    <w:name w:val=".HEADERTEXT"/>
    <w:uiPriority w:val="99"/>
    <w:rsid w:val="00495FD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rsid w:val="004F21B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E3EC-C941-470D-94C9-5E1A71CD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3.Контроль за исполнением настоящего постановления оставляю за собой.</vt:lpstr>
    </vt:vector>
  </TitlesOfParts>
  <Company>Администрация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2020-03-31T10:50:00Z</cp:lastPrinted>
  <dcterms:created xsi:type="dcterms:W3CDTF">2020-06-22T06:15:00Z</dcterms:created>
  <dcterms:modified xsi:type="dcterms:W3CDTF">2020-06-22T06:15:00Z</dcterms:modified>
</cp:coreProperties>
</file>