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ook w:val="04A0" w:firstRow="1" w:lastRow="0" w:firstColumn="1" w:lastColumn="0" w:noHBand="0" w:noVBand="1"/>
      </w:tblPr>
      <w:tblGrid>
        <w:gridCol w:w="4618"/>
        <w:gridCol w:w="782"/>
        <w:gridCol w:w="4806"/>
      </w:tblGrid>
      <w:tr w:rsidR="00EB09F6" w:rsidRPr="00EB09F6" w:rsidTr="00FF7191">
        <w:tc>
          <w:tcPr>
            <w:tcW w:w="4618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bookmarkStart w:id="0" w:name="_GoBack"/>
            <w:bookmarkEnd w:id="0"/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ИСПОЛНИТЕЛЬНЫЙ КОМИТЕТ</w:t>
            </w:r>
          </w:p>
          <w:p w:rsidR="005272CA" w:rsidRDefault="005272CA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ШАЛТИН</w:t>
            </w:r>
            <w:r w:rsidR="00EB09F6"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СКОГО 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СЕЛЬСКОГО ПОСЕЛЕНИЯ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782" w:type="dxa"/>
            <w:shd w:val="clear" w:color="auto" w:fill="auto"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6" w:type="dxa"/>
            <w:shd w:val="clear" w:color="auto" w:fill="auto"/>
            <w:hideMark/>
          </w:tcPr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EB09F6">
              <w:rPr>
                <w:rFonts w:ascii="Times New Roman" w:eastAsia="Times New Roman" w:hAnsi="Times New Roman" w:cs="Times New Roman" w:hint="cs"/>
                <w:sz w:val="28"/>
                <w:szCs w:val="28"/>
                <w:lang w:val="ar-SA"/>
              </w:rPr>
              <w:t>БАУЛЫ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РАЙОНЫ</w:t>
            </w:r>
          </w:p>
          <w:p w:rsidR="00EB09F6" w:rsidRPr="00EB09F6" w:rsidRDefault="005272CA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ШАЛТЫ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EB09F6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Җ</w:t>
            </w:r>
            <w:r w:rsidRPr="00EB09F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</w:t>
            </w:r>
          </w:p>
          <w:p w:rsidR="00EB09F6" w:rsidRPr="00EB09F6" w:rsidRDefault="00EB09F6" w:rsidP="00EB09F6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9F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БАШКАРМА КОМИТЕТЫ</w:t>
            </w:r>
          </w:p>
          <w:p w:rsidR="00EB09F6" w:rsidRPr="00EB09F6" w:rsidRDefault="00EB09F6" w:rsidP="00EB0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EB09F6" w:rsidRPr="00EB09F6" w:rsidRDefault="00EB09F6" w:rsidP="00EB09F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EB09F6" w:rsidRPr="00EB09F6" w:rsidTr="00FF7191">
        <w:trPr>
          <w:trHeight w:val="314"/>
        </w:trPr>
        <w:tc>
          <w:tcPr>
            <w:tcW w:w="10206" w:type="dxa"/>
          </w:tcPr>
          <w:p w:rsidR="00EB09F6" w:rsidRPr="00EB09F6" w:rsidRDefault="00EB09F6" w:rsidP="00EB09F6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Style w:val="1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6"/>
        <w:gridCol w:w="5190"/>
      </w:tblGrid>
      <w:tr w:rsidR="00EB09F6" w:rsidRPr="00EB09F6" w:rsidTr="00FF7191">
        <w:tc>
          <w:tcPr>
            <w:tcW w:w="5016" w:type="dxa"/>
            <w:vAlign w:val="center"/>
          </w:tcPr>
          <w:p w:rsidR="00EB09F6" w:rsidRPr="00EB09F6" w:rsidRDefault="00F30CC9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ПОСТАНОВЛЕНИЕ</w:t>
            </w:r>
          </w:p>
        </w:tc>
        <w:tc>
          <w:tcPr>
            <w:tcW w:w="5190" w:type="dxa"/>
            <w:vAlign w:val="center"/>
          </w:tcPr>
          <w:p w:rsidR="00EB09F6" w:rsidRPr="00EB09F6" w:rsidRDefault="00FF7191" w:rsidP="00EB09F6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            </w:t>
            </w:r>
            <w:r w:rsidR="00F30CC9">
              <w:rPr>
                <w:b/>
                <w:sz w:val="28"/>
                <w:szCs w:val="24"/>
              </w:rPr>
              <w:t>КАРАР</w:t>
            </w:r>
          </w:p>
        </w:tc>
      </w:tr>
      <w:tr w:rsidR="00EB09F6" w:rsidRPr="00EB09F6" w:rsidTr="00FF7191">
        <w:tc>
          <w:tcPr>
            <w:tcW w:w="10206" w:type="dxa"/>
            <w:gridSpan w:val="2"/>
            <w:vAlign w:val="center"/>
          </w:tcPr>
          <w:p w:rsidR="00EB09F6" w:rsidRPr="00EB09F6" w:rsidRDefault="00FF7191" w:rsidP="005272CA">
            <w:pPr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B09F6" w:rsidRPr="00EB09F6">
              <w:rPr>
                <w:sz w:val="24"/>
                <w:szCs w:val="24"/>
              </w:rPr>
              <w:t xml:space="preserve">с. </w:t>
            </w:r>
            <w:proofErr w:type="spellStart"/>
            <w:r w:rsidR="005272CA">
              <w:rPr>
                <w:sz w:val="24"/>
                <w:szCs w:val="24"/>
              </w:rPr>
              <w:t>Шалты</w:t>
            </w:r>
            <w:proofErr w:type="spellEnd"/>
            <w:r w:rsidR="00EB09F6" w:rsidRPr="00EB09F6">
              <w:rPr>
                <w:sz w:val="24"/>
                <w:szCs w:val="24"/>
              </w:rPr>
              <w:t xml:space="preserve"> </w:t>
            </w:r>
          </w:p>
        </w:tc>
      </w:tr>
      <w:tr w:rsidR="00EB09F6" w:rsidRPr="00EB09F6" w:rsidTr="00FF7191">
        <w:tc>
          <w:tcPr>
            <w:tcW w:w="5016" w:type="dxa"/>
            <w:vAlign w:val="center"/>
          </w:tcPr>
          <w:p w:rsidR="00EB09F6" w:rsidRPr="00EB09F6" w:rsidRDefault="002107BC" w:rsidP="002107B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_____________ </w:t>
            </w:r>
            <w:r w:rsidR="00802E85">
              <w:rPr>
                <w:sz w:val="28"/>
                <w:szCs w:val="24"/>
              </w:rPr>
              <w:t>20</w:t>
            </w:r>
            <w:r>
              <w:rPr>
                <w:sz w:val="28"/>
                <w:szCs w:val="24"/>
              </w:rPr>
              <w:t>20</w:t>
            </w:r>
          </w:p>
        </w:tc>
        <w:tc>
          <w:tcPr>
            <w:tcW w:w="5190" w:type="dxa"/>
            <w:vAlign w:val="center"/>
          </w:tcPr>
          <w:p w:rsidR="00EB09F6" w:rsidRPr="00EB09F6" w:rsidRDefault="002C174F" w:rsidP="002107B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</w:t>
            </w:r>
            <w:r w:rsidR="00F30CC9">
              <w:rPr>
                <w:sz w:val="28"/>
                <w:szCs w:val="24"/>
              </w:rPr>
              <w:t>№</w:t>
            </w:r>
            <w:r w:rsidR="005272CA">
              <w:rPr>
                <w:sz w:val="28"/>
                <w:szCs w:val="24"/>
              </w:rPr>
              <w:t xml:space="preserve"> </w:t>
            </w:r>
            <w:r w:rsidR="002107BC">
              <w:rPr>
                <w:sz w:val="28"/>
                <w:szCs w:val="24"/>
              </w:rPr>
              <w:t>____</w:t>
            </w:r>
          </w:p>
        </w:tc>
      </w:tr>
    </w:tbl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477C" w:rsidRDefault="00A5477C" w:rsidP="00FF71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107BC" w:rsidRDefault="002107BC" w:rsidP="002107BC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перечня </w:t>
      </w:r>
      <w:r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2020 году</w:t>
      </w:r>
    </w:p>
    <w:p w:rsidR="002107BC" w:rsidRDefault="002107BC" w:rsidP="00210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7BC" w:rsidRDefault="002107BC" w:rsidP="00210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174</w:t>
      </w:r>
      <w:r w:rsidRPr="00687C7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687C7D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ПОСТАНОВЛЯЕТ:</w:t>
      </w:r>
    </w:p>
    <w:p w:rsidR="002107BC" w:rsidRDefault="002107BC" w:rsidP="002107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107BC" w:rsidRDefault="002107BC" w:rsidP="001E3239">
      <w:pPr>
        <w:pStyle w:val="ConsPlusNormal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1B7A">
        <w:rPr>
          <w:rFonts w:ascii="Times New Roman" w:hAnsi="Times New Roman" w:cs="Times New Roman"/>
          <w:sz w:val="28"/>
          <w:szCs w:val="28"/>
        </w:rPr>
        <w:t>Утвердить прилагаемый Порядок формирования перечня налоговых расходов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Pr="00DF1B7A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1E3239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E32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F1B7A">
        <w:rPr>
          <w:rFonts w:ascii="Times New Roman" w:hAnsi="Times New Roman" w:cs="Times New Roman"/>
          <w:i/>
          <w:sz w:val="28"/>
          <w:szCs w:val="28"/>
        </w:rPr>
        <w:t>.</w:t>
      </w:r>
    </w:p>
    <w:p w:rsidR="002107BC" w:rsidRPr="005538A1" w:rsidRDefault="002107BC" w:rsidP="001E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Управлению Федеральной налоговой службы по Республике Татарстан до 1 сентября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ть в исполнительный комитет муниципального образования сведения за отчетный год, за год, предшествующий отчетному году:</w:t>
      </w:r>
    </w:p>
    <w:p w:rsidR="002107BC" w:rsidRPr="005538A1" w:rsidRDefault="002107BC" w:rsidP="001E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2107BC" w:rsidRPr="005538A1" w:rsidRDefault="002107BC" w:rsidP="001E323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1E3239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E3239"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 w:rsidRPr="005538A1">
        <w:rPr>
          <w:rFonts w:ascii="Times New Roman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1E3239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E32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538A1">
        <w:rPr>
          <w:rFonts w:ascii="Times New Roman" w:hAnsi="Times New Roman" w:cs="Times New Roman"/>
          <w:sz w:val="28"/>
          <w:szCs w:val="28"/>
        </w:rPr>
        <w:t>.</w:t>
      </w:r>
    </w:p>
    <w:p w:rsidR="002107BC" w:rsidRPr="00DF1B7A" w:rsidRDefault="001E3239" w:rsidP="001E3239">
      <w:pPr>
        <w:pStyle w:val="1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</w:t>
      </w:r>
      <w:r w:rsidR="002107BC">
        <w:rPr>
          <w:rFonts w:ascii="Times New Roman" w:hAnsi="Times New Roman" w:cs="Times New Roman"/>
          <w:b w:val="0"/>
          <w:color w:val="auto"/>
        </w:rPr>
        <w:t xml:space="preserve">.  </w:t>
      </w:r>
      <w:proofErr w:type="gramStart"/>
      <w:r w:rsidR="002107BC"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="002107BC"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2107BC" w:rsidRPr="00DF1B7A" w:rsidRDefault="001E3239" w:rsidP="001E323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107BC">
        <w:rPr>
          <w:rFonts w:ascii="Times New Roman" w:hAnsi="Times New Roman" w:cs="Times New Roman"/>
          <w:bCs/>
          <w:sz w:val="28"/>
          <w:szCs w:val="28"/>
        </w:rPr>
        <w:t xml:space="preserve">.  Настоящее постановление вступает в силу со дня его официального опубликования. </w:t>
      </w:r>
    </w:p>
    <w:p w:rsidR="002107BC" w:rsidRDefault="002107BC" w:rsidP="002107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E3239" w:rsidRDefault="001E3239" w:rsidP="002107BC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E3239" w:rsidRDefault="002107BC" w:rsidP="001E3239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>Руководитель исполнительного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комитета</w:t>
      </w:r>
    </w:p>
    <w:p w:rsidR="002107BC" w:rsidRPr="00DF1B7A" w:rsidRDefault="001E3239" w:rsidP="001E3239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70654B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З.Х.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Фаткуллин</w:t>
      </w:r>
      <w:proofErr w:type="spellEnd"/>
    </w:p>
    <w:p w:rsidR="001E3239" w:rsidRDefault="001E3239" w:rsidP="002107BC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70654B" w:rsidRDefault="0070654B" w:rsidP="001E3239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2107BC" w:rsidRPr="003C46BE" w:rsidRDefault="002107BC" w:rsidP="001E3239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107BC" w:rsidRPr="003C46BE" w:rsidRDefault="002107BC" w:rsidP="001E323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2107BC" w:rsidRPr="003C46BE" w:rsidRDefault="002107BC" w:rsidP="001E3239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2107BC" w:rsidRPr="003C46BE" w:rsidRDefault="001E3239" w:rsidP="002107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107BC" w:rsidRPr="003C46BE" w:rsidRDefault="001E3239" w:rsidP="002107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«____»______</w:t>
      </w:r>
      <w:r w:rsidR="002107BC" w:rsidRPr="003C46BE">
        <w:rPr>
          <w:rFonts w:ascii="Times New Roman" w:hAnsi="Times New Roman" w:cs="Times New Roman"/>
          <w:sz w:val="28"/>
          <w:szCs w:val="28"/>
        </w:rPr>
        <w:t>2020г. № ___</w:t>
      </w:r>
    </w:p>
    <w:p w:rsidR="002107BC" w:rsidRPr="003C46BE" w:rsidRDefault="002107BC" w:rsidP="002107BC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2107BC" w:rsidRPr="00446D01" w:rsidRDefault="002107BC" w:rsidP="001E32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107BC" w:rsidRPr="003C46BE" w:rsidRDefault="002107BC" w:rsidP="001E32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 проведения</w:t>
      </w:r>
    </w:p>
    <w:p w:rsidR="002107BC" w:rsidRDefault="002107BC" w:rsidP="001E3239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1E3239" w:rsidRPr="001E3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39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E32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3239" w:rsidRPr="00543272">
        <w:rPr>
          <w:rFonts w:ascii="Times New Roman" w:hAnsi="Times New Roman" w:cs="Times New Roman"/>
          <w:sz w:val="28"/>
          <w:szCs w:val="28"/>
        </w:rPr>
        <w:t xml:space="preserve"> </w:t>
      </w:r>
      <w:r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2107BC" w:rsidRPr="000A003D" w:rsidRDefault="002107BC" w:rsidP="002107B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07BC" w:rsidRPr="003C46BE" w:rsidRDefault="002107BC" w:rsidP="002107BC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2107BC" w:rsidRPr="00B661D0" w:rsidRDefault="002107BC" w:rsidP="002107BC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2107BC" w:rsidRDefault="002107BC" w:rsidP="001E32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1. Настоящий Порядок определяет правила формирования перечня налоговых расходов </w:t>
      </w:r>
      <w:proofErr w:type="spellStart"/>
      <w:r w:rsidR="001E3239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E32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>и оценки налоговых расходов</w:t>
      </w:r>
      <w:r w:rsidR="001E32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3239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1E323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3239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>
        <w:rPr>
          <w:rFonts w:ascii="Times New Roman" w:hAnsi="Times New Roman" w:cs="Times New Roman"/>
          <w:sz w:val="28"/>
          <w:szCs w:val="28"/>
        </w:rPr>
        <w:t>, муниципальное  образование).</w:t>
      </w:r>
    </w:p>
    <w:p w:rsidR="002107BC" w:rsidRPr="003C46BE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 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 г. № 796 «Об общих требованиях к оценке налоговых расходов субъектов Российской Федерации и муниципальных образований» (далее -</w:t>
      </w:r>
      <w:r w:rsidR="001E3239">
        <w:rPr>
          <w:rFonts w:ascii="Times New Roman" w:hAnsi="Times New Roman" w:cs="Times New Roman"/>
          <w:sz w:val="28"/>
          <w:szCs w:val="28"/>
        </w:rPr>
        <w:t xml:space="preserve"> </w:t>
      </w:r>
      <w:r w:rsidRPr="003C46BE">
        <w:rPr>
          <w:rFonts w:ascii="Times New Roman" w:hAnsi="Times New Roman" w:cs="Times New Roman"/>
          <w:sz w:val="28"/>
          <w:szCs w:val="28"/>
        </w:rPr>
        <w:t>Общие требования).</w:t>
      </w:r>
    </w:p>
    <w:p w:rsidR="002107BC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E3239">
        <w:rPr>
          <w:rFonts w:ascii="Times New Roman" w:hAnsi="Times New Roman" w:cs="Times New Roman"/>
          <w:sz w:val="28"/>
          <w:szCs w:val="24"/>
        </w:rPr>
        <w:t>3</w:t>
      </w:r>
      <w:r w:rsidRPr="001E3239">
        <w:rPr>
          <w:rFonts w:ascii="Times New Roman" w:hAnsi="Times New Roman" w:cs="Times New Roman"/>
          <w:sz w:val="32"/>
          <w:szCs w:val="28"/>
        </w:rPr>
        <w:t>. </w:t>
      </w:r>
      <w:r w:rsidRPr="003C46BE">
        <w:rPr>
          <w:rFonts w:ascii="Times New Roman" w:hAnsi="Times New Roman" w:cs="Times New Roman"/>
          <w:sz w:val="28"/>
          <w:szCs w:val="28"/>
        </w:rPr>
        <w:t>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2107BC" w:rsidRPr="00B445C8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2107BC" w:rsidRPr="003C46BE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формирует перечень налоговых расходов муниципального образования;</w:t>
      </w:r>
    </w:p>
    <w:p w:rsidR="002107BC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осуществляет анализ и обобщение результатов оценки налоговых расходов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7BC" w:rsidRPr="00DF1B7A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2107BC" w:rsidRPr="003E5F83" w:rsidRDefault="002107BC" w:rsidP="001E32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Формирование перечня налоговых расходов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107BC" w:rsidRPr="003E5F8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7BC" w:rsidRPr="005F5FBD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2107BC" w:rsidRPr="00B661D0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2107BC" w:rsidRDefault="002107BC" w:rsidP="00210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>
        <w:rPr>
          <w:rFonts w:ascii="Times New Roman" w:hAnsi="Times New Roman" w:cs="Times New Roman"/>
          <w:sz w:val="28"/>
          <w:szCs w:val="28"/>
        </w:rPr>
        <w:t xml:space="preserve">ания за отчетный финансовый год и за год, предшествующий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107BC" w:rsidRPr="00B661D0" w:rsidRDefault="002107BC" w:rsidP="002107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B661D0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B661D0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7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2107BC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D76C72">
        <w:rPr>
          <w:rFonts w:ascii="Times New Roman" w:hAnsi="Times New Roman" w:cs="Times New Roman"/>
          <w:sz w:val="28"/>
          <w:szCs w:val="28"/>
        </w:rPr>
        <w:t>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Pr="00347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Pr="00D76C72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proofErr w:type="gramStart"/>
      <w:r w:rsidRPr="00D76C72">
        <w:rPr>
          <w:rFonts w:ascii="Times New Roman" w:hAnsi="Times New Roman" w:cs="Times New Roman"/>
          <w:sz w:val="28"/>
          <w:szCs w:val="28"/>
        </w:rPr>
        <w:t>с даты вступления</w:t>
      </w:r>
      <w:proofErr w:type="gramEnd"/>
      <w:r w:rsidRPr="00D76C72">
        <w:rPr>
          <w:rFonts w:ascii="Times New Roman" w:hAnsi="Times New Roman" w:cs="Times New Roman"/>
          <w:sz w:val="28"/>
          <w:szCs w:val="28"/>
        </w:rPr>
        <w:t xml:space="preserve"> в силу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Pr="00D76C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2107BC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07BC" w:rsidRDefault="002107BC" w:rsidP="001E323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>. Порядок оценки налоговых расходов муниципального образования</w:t>
      </w:r>
    </w:p>
    <w:p w:rsidR="001E3239" w:rsidRDefault="001E3239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7BC" w:rsidRPr="005774E8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 муниципального образования и</w:t>
      </w:r>
      <w:r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2107BC" w:rsidRPr="005774E8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1E3239">
        <w:rPr>
          <w:rFonts w:ascii="Times New Roman" w:hAnsi="Times New Roman" w:cs="Times New Roman"/>
          <w:sz w:val="28"/>
          <w:szCs w:val="28"/>
        </w:rPr>
        <w:t xml:space="preserve">     </w:t>
      </w:r>
      <w:r w:rsidRPr="005774E8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2107BC" w:rsidRPr="005774E8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</w:t>
      </w:r>
      <w:r w:rsidR="001E3239">
        <w:rPr>
          <w:rFonts w:ascii="Times New Roman" w:hAnsi="Times New Roman" w:cs="Times New Roman"/>
          <w:sz w:val="28"/>
          <w:szCs w:val="28"/>
        </w:rPr>
        <w:t xml:space="preserve"> </w:t>
      </w:r>
      <w:r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Pr="00F8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2107BC" w:rsidRPr="005774E8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2107BC" w:rsidRPr="005774E8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Pr="00F8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2107BC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Pr="00F86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2107BC" w:rsidRPr="008713E2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12. </w:t>
      </w:r>
      <w:r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2107BC" w:rsidRPr="008713E2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2107BC" w:rsidRPr="008713E2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>
        <w:rPr>
          <w:rFonts w:ascii="Times New Roman" w:eastAsia="Calibri" w:hAnsi="Times New Roman" w:cs="Times New Roman"/>
          <w:sz w:val="28"/>
        </w:rPr>
        <w:t>.</w:t>
      </w:r>
    </w:p>
    <w:p w:rsidR="002107BC" w:rsidRPr="008713E2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2107BC" w:rsidRPr="00D85EF5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D85EF5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Pr="00D85EF5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>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1257C3">
        <w:rPr>
          <w:rFonts w:ascii="Times New Roman" w:eastAsia="Calibri" w:hAnsi="Times New Roman" w:cs="Times New Roman"/>
          <w:sz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>6</w:t>
      </w:r>
      <w:r w:rsidRPr="001257C3">
        <w:rPr>
          <w:rFonts w:ascii="Times New Roman" w:eastAsia="Calibri" w:hAnsi="Times New Roman" w:cs="Times New Roman"/>
          <w:sz w:val="28"/>
        </w:rPr>
        <w:t>. 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1257C3">
        <w:rPr>
          <w:rFonts w:ascii="Times New Roman" w:eastAsia="Calibri" w:hAnsi="Times New Roman" w:cs="Times New Roman"/>
          <w:sz w:val="28"/>
        </w:rPr>
        <w:t>механизмов достижения целей муниципальной программы муниципального образования</w:t>
      </w:r>
      <w:proofErr w:type="gramEnd"/>
      <w:r w:rsidRPr="001257C3">
        <w:rPr>
          <w:rFonts w:ascii="Times New Roman" w:eastAsia="Calibri" w:hAnsi="Times New Roman" w:cs="Times New Roman"/>
          <w:sz w:val="28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предоставление муниципальных гарантий по обязательствам плательщиков, имеющих право на льготы;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2107BC" w:rsidRPr="001257C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257C3">
        <w:rPr>
          <w:rFonts w:ascii="Times New Roman" w:hAnsi="Times New Roman" w:cs="Times New Roman"/>
          <w:sz w:val="28"/>
          <w:szCs w:val="28"/>
        </w:rPr>
        <w:t>. Оценка налоговых расходов муниципального образования осуществляется до 1 ок</w:t>
      </w:r>
      <w:r w:rsidR="001E3239">
        <w:rPr>
          <w:rFonts w:ascii="Times New Roman" w:hAnsi="Times New Roman" w:cs="Times New Roman"/>
          <w:sz w:val="28"/>
          <w:szCs w:val="28"/>
        </w:rPr>
        <w:t>т</w:t>
      </w:r>
      <w:r w:rsidRPr="001257C3">
        <w:rPr>
          <w:rFonts w:ascii="Times New Roman" w:hAnsi="Times New Roman" w:cs="Times New Roman"/>
          <w:sz w:val="28"/>
          <w:szCs w:val="28"/>
        </w:rPr>
        <w:t>ября и содержит:</w:t>
      </w:r>
    </w:p>
    <w:p w:rsidR="002107BC" w:rsidRPr="001257C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информацию по Перечню показателей для проведения оценки налоговых расходов;</w:t>
      </w:r>
    </w:p>
    <w:p w:rsidR="002107BC" w:rsidRPr="001257C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2107BC" w:rsidRPr="001257C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о наличии (отсутствии) более результативных альтернативных механизмов их достижения;</w:t>
      </w:r>
    </w:p>
    <w:p w:rsidR="002107BC" w:rsidRPr="001257C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2107BC" w:rsidRPr="001257C3" w:rsidRDefault="002107BC" w:rsidP="002107B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257C3">
        <w:rPr>
          <w:rFonts w:ascii="Times New Roman" w:hAnsi="Times New Roman" w:cs="Times New Roman"/>
          <w:sz w:val="28"/>
          <w:szCs w:val="28"/>
        </w:rPr>
        <w:t>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2107BC" w:rsidRPr="001257C3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2107BC" w:rsidRPr="004D28E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E3239" w:rsidRDefault="001E3239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E3239" w:rsidRDefault="001E3239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2107BC" w:rsidRDefault="002107BC" w:rsidP="00210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70654B" w:rsidRDefault="0070654B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1E3239" w:rsidRPr="0070654B" w:rsidRDefault="001E3239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Приложение </w:t>
      </w:r>
    </w:p>
    <w:p w:rsidR="001E3239" w:rsidRPr="0070654B" w:rsidRDefault="001E3239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 Порядку </w:t>
      </w:r>
    </w:p>
    <w:p w:rsidR="001E3239" w:rsidRPr="0070654B" w:rsidRDefault="001E3239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формирования перечня </w:t>
      </w:r>
    </w:p>
    <w:p w:rsidR="001E3239" w:rsidRPr="0070654B" w:rsidRDefault="001E3239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налоговых расходов</w:t>
      </w:r>
      <w:r w:rsid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Шалтинского</w:t>
      </w:r>
      <w:proofErr w:type="spellEnd"/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</w:p>
    <w:p w:rsidR="001E3239" w:rsidRPr="0070654B" w:rsidRDefault="001E3239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0654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сельского поселения</w:t>
      </w:r>
    </w:p>
    <w:p w:rsidR="001E3239" w:rsidRDefault="001E3239" w:rsidP="001E3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2107BC" w:rsidRPr="001257C3" w:rsidRDefault="001E3239" w:rsidP="00210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Шалтинского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2107BC" w:rsidRPr="001257C3" w:rsidRDefault="002107BC" w:rsidP="002107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2107BC" w:rsidRPr="001257C3" w:rsidTr="00CE0C52">
        <w:tc>
          <w:tcPr>
            <w:tcW w:w="6805" w:type="dxa"/>
            <w:gridSpan w:val="2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2107BC" w:rsidRPr="001257C3" w:rsidTr="00CE0C52">
        <w:tc>
          <w:tcPr>
            <w:tcW w:w="10065" w:type="dxa"/>
            <w:gridSpan w:val="3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.Нормативные и целевые характеристики налогового расхода</w:t>
            </w:r>
            <w:r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предоставления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1257C3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107BC" w:rsidRPr="001257C3" w:rsidRDefault="002107BC" w:rsidP="00CE0C52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</w:tcPr>
          <w:p w:rsidR="002107BC" w:rsidRPr="001257C3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70654B">
        <w:trPr>
          <w:trHeight w:val="940"/>
        </w:trPr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70654B">
        <w:trPr>
          <w:trHeight w:val="810"/>
        </w:trPr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260" w:type="dxa"/>
          </w:tcPr>
          <w:p w:rsidR="002107BC" w:rsidRDefault="002107BC" w:rsidP="00CE0C52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rPr>
          <w:trHeight w:val="292"/>
        </w:trPr>
        <w:tc>
          <w:tcPr>
            <w:tcW w:w="10065" w:type="dxa"/>
            <w:gridSpan w:val="3"/>
          </w:tcPr>
          <w:p w:rsidR="002107BC" w:rsidRDefault="002107BC" w:rsidP="00C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107BC" w:rsidRPr="00B924E2" w:rsidRDefault="002107BC" w:rsidP="00CE0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Фискальные</w:t>
            </w:r>
            <w:r w:rsidRPr="00B924E2">
              <w:rPr>
                <w:sz w:val="26"/>
                <w:szCs w:val="26"/>
              </w:rPr>
              <w:t xml:space="preserve">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</w:tcPr>
          <w:p w:rsidR="002107BC" w:rsidRPr="003A7CF6" w:rsidRDefault="002107BC" w:rsidP="00CE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</w:tcPr>
          <w:p w:rsidR="002107BC" w:rsidRPr="00B924E2" w:rsidRDefault="002107BC" w:rsidP="00CE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107BC" w:rsidRPr="003A7CF6" w:rsidRDefault="002107BC" w:rsidP="00CE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2107BC" w:rsidRPr="004103DC" w:rsidTr="00CE0C52">
        <w:tc>
          <w:tcPr>
            <w:tcW w:w="568" w:type="dxa"/>
          </w:tcPr>
          <w:p w:rsidR="002107BC" w:rsidRPr="004103DC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37" w:type="dxa"/>
          </w:tcPr>
          <w:p w:rsidR="002107BC" w:rsidRPr="00B924E2" w:rsidRDefault="002107BC" w:rsidP="00CE0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2107BC" w:rsidRPr="00B924E2" w:rsidRDefault="002107BC" w:rsidP="00CE0C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2107BC" w:rsidRPr="005C6FF3" w:rsidRDefault="002107BC" w:rsidP="002107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83E75" w:rsidRDefault="00283E75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477C" w:rsidRDefault="00A5477C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477C" w:rsidRDefault="00A5477C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477C" w:rsidRDefault="00A5477C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477C" w:rsidRDefault="00A5477C" w:rsidP="0018688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22176" w:rsidRDefault="00C22176" w:rsidP="007065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C22176" w:rsidSect="001E3239">
      <w:headerReference w:type="default" r:id="rId8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6D1" w:rsidRDefault="00FA76D1" w:rsidP="00233036">
      <w:pPr>
        <w:spacing w:after="0" w:line="240" w:lineRule="auto"/>
      </w:pPr>
      <w:r>
        <w:separator/>
      </w:r>
    </w:p>
  </w:endnote>
  <w:endnote w:type="continuationSeparator" w:id="0">
    <w:p w:rsidR="00FA76D1" w:rsidRDefault="00FA76D1" w:rsidP="002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6D1" w:rsidRDefault="00FA76D1" w:rsidP="00233036">
      <w:pPr>
        <w:spacing w:after="0" w:line="240" w:lineRule="auto"/>
      </w:pPr>
      <w:r>
        <w:separator/>
      </w:r>
    </w:p>
  </w:footnote>
  <w:footnote w:type="continuationSeparator" w:id="0">
    <w:p w:rsidR="00FA76D1" w:rsidRDefault="00FA76D1" w:rsidP="002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36" w:rsidRPr="00A5477C" w:rsidRDefault="00233036">
    <w:pPr>
      <w:pStyle w:val="a5"/>
      <w:jc w:val="center"/>
      <w:rPr>
        <w:rFonts w:ascii="Times New Roman" w:hAnsi="Times New Roman" w:cs="Times New Roman"/>
      </w:rPr>
    </w:pPr>
  </w:p>
  <w:p w:rsidR="00233036" w:rsidRDefault="002330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BD"/>
    <w:rsid w:val="00004C8A"/>
    <w:rsid w:val="000E5F58"/>
    <w:rsid w:val="000F0952"/>
    <w:rsid w:val="00110EEA"/>
    <w:rsid w:val="0011240E"/>
    <w:rsid w:val="00157A13"/>
    <w:rsid w:val="00186882"/>
    <w:rsid w:val="00186FA3"/>
    <w:rsid w:val="001C11B9"/>
    <w:rsid w:val="001E3239"/>
    <w:rsid w:val="002107BC"/>
    <w:rsid w:val="00233036"/>
    <w:rsid w:val="00283E75"/>
    <w:rsid w:val="00290FD3"/>
    <w:rsid w:val="002A3A03"/>
    <w:rsid w:val="002C174F"/>
    <w:rsid w:val="002E0944"/>
    <w:rsid w:val="003C596E"/>
    <w:rsid w:val="00437648"/>
    <w:rsid w:val="00464442"/>
    <w:rsid w:val="004944DD"/>
    <w:rsid w:val="005272CA"/>
    <w:rsid w:val="00553DF0"/>
    <w:rsid w:val="00575DC7"/>
    <w:rsid w:val="00595574"/>
    <w:rsid w:val="006A33DD"/>
    <w:rsid w:val="006A7D1C"/>
    <w:rsid w:val="006E6F6C"/>
    <w:rsid w:val="0070654B"/>
    <w:rsid w:val="00707A66"/>
    <w:rsid w:val="007851EE"/>
    <w:rsid w:val="00802E85"/>
    <w:rsid w:val="00860D42"/>
    <w:rsid w:val="00880996"/>
    <w:rsid w:val="008977BD"/>
    <w:rsid w:val="008B2FB4"/>
    <w:rsid w:val="008D439A"/>
    <w:rsid w:val="008D7EDD"/>
    <w:rsid w:val="009374BA"/>
    <w:rsid w:val="00981CAA"/>
    <w:rsid w:val="009E3297"/>
    <w:rsid w:val="00A22ABB"/>
    <w:rsid w:val="00A410B4"/>
    <w:rsid w:val="00A5477C"/>
    <w:rsid w:val="00AA4D69"/>
    <w:rsid w:val="00B252E6"/>
    <w:rsid w:val="00B63778"/>
    <w:rsid w:val="00B81F17"/>
    <w:rsid w:val="00BE2DF8"/>
    <w:rsid w:val="00BF43A1"/>
    <w:rsid w:val="00C22176"/>
    <w:rsid w:val="00C423A2"/>
    <w:rsid w:val="00CB014F"/>
    <w:rsid w:val="00CC1423"/>
    <w:rsid w:val="00CD491D"/>
    <w:rsid w:val="00CE6D11"/>
    <w:rsid w:val="00D02E08"/>
    <w:rsid w:val="00D4754C"/>
    <w:rsid w:val="00D652AD"/>
    <w:rsid w:val="00E30440"/>
    <w:rsid w:val="00EB09F6"/>
    <w:rsid w:val="00EB6CCD"/>
    <w:rsid w:val="00F30CC9"/>
    <w:rsid w:val="00F41989"/>
    <w:rsid w:val="00F56E1D"/>
    <w:rsid w:val="00FA76D1"/>
    <w:rsid w:val="00FA7FB4"/>
    <w:rsid w:val="00FE278F"/>
    <w:rsid w:val="00FF7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0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210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0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882"/>
    <w:pPr>
      <w:ind w:left="720"/>
      <w:contextualSpacing/>
    </w:pPr>
  </w:style>
  <w:style w:type="table" w:styleId="a4">
    <w:name w:val="Table Grid"/>
    <w:basedOn w:val="a1"/>
    <w:uiPriority w:val="59"/>
    <w:rsid w:val="00553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3036"/>
  </w:style>
  <w:style w:type="paragraph" w:styleId="a7">
    <w:name w:val="footer"/>
    <w:basedOn w:val="a"/>
    <w:link w:val="a8"/>
    <w:uiPriority w:val="99"/>
    <w:unhideWhenUsed/>
    <w:rsid w:val="00233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3036"/>
  </w:style>
  <w:style w:type="table" w:customStyle="1" w:styleId="11">
    <w:name w:val="Сетка таблицы1"/>
    <w:basedOn w:val="a1"/>
    <w:next w:val="a4"/>
    <w:rsid w:val="00EB0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17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0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210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Infra</dc:creator>
  <cp:lastModifiedBy>Таня Алатырева</cp:lastModifiedBy>
  <cp:revision>2</cp:revision>
  <cp:lastPrinted>2019-01-24T11:25:00Z</cp:lastPrinted>
  <dcterms:created xsi:type="dcterms:W3CDTF">2020-04-03T07:50:00Z</dcterms:created>
  <dcterms:modified xsi:type="dcterms:W3CDTF">2020-04-03T07:50:00Z</dcterms:modified>
</cp:coreProperties>
</file>