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2B4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6238E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B26" w:rsidRDefault="00966B26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966B26" w:rsidRPr="00966B26" w:rsidTr="008851F8">
        <w:trPr>
          <w:trHeight w:val="1221"/>
        </w:trPr>
        <w:tc>
          <w:tcPr>
            <w:tcW w:w="4398" w:type="dxa"/>
            <w:hideMark/>
          </w:tcPr>
          <w:p w:rsidR="00966B26" w:rsidRPr="00966B26" w:rsidRDefault="00966B26" w:rsidP="00966B26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ИСЕРГАПОВСКОГО СЕЛЬСКОГО ПОСЕЛЕНИЯ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099" w:type="dxa"/>
          </w:tcPr>
          <w:p w:rsidR="00966B26" w:rsidRPr="00966B26" w:rsidRDefault="00966B26" w:rsidP="00966B2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B26" w:rsidRPr="00966B26" w:rsidRDefault="00966B26" w:rsidP="00966B2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B26" w:rsidRPr="00966B26" w:rsidRDefault="00966B26" w:rsidP="0096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B26" w:rsidRPr="00966B26" w:rsidRDefault="00966B26" w:rsidP="00966B2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8" w:type="dxa"/>
            <w:hideMark/>
          </w:tcPr>
          <w:p w:rsidR="00966B26" w:rsidRPr="00966B26" w:rsidRDefault="00966B26" w:rsidP="00966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B26" w:rsidRPr="00966B26" w:rsidRDefault="00966B26" w:rsidP="0096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РЕСПУБЛИКАСЫ</w:t>
            </w:r>
          </w:p>
          <w:p w:rsidR="00966B26" w:rsidRPr="00966B26" w:rsidRDefault="00966B26" w:rsidP="0096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БАУЛЫ МУНИЦИПАЛЬ</w:t>
            </w:r>
          </w:p>
          <w:p w:rsidR="00966B26" w:rsidRPr="00966B26" w:rsidRDefault="00966B26" w:rsidP="0096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РАЙОНЫ</w:t>
            </w:r>
          </w:p>
          <w:p w:rsidR="00966B26" w:rsidRPr="00966B26" w:rsidRDefault="00966B26" w:rsidP="00966B26">
            <w:pPr>
              <w:spacing w:after="0" w:line="240" w:lineRule="auto"/>
              <w:ind w:left="900" w:hanging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ИСЕРГЭП АВЫЛ</w:t>
            </w:r>
          </w:p>
          <w:p w:rsidR="00966B26" w:rsidRPr="00966B26" w:rsidRDefault="00966B26" w:rsidP="00966B26">
            <w:pPr>
              <w:spacing w:after="0" w:line="240" w:lineRule="auto"/>
              <w:ind w:left="900" w:hanging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ҖИРЛЕГЕ</w:t>
            </w:r>
          </w:p>
          <w:p w:rsidR="00966B26" w:rsidRPr="00966B26" w:rsidRDefault="00966B26" w:rsidP="00966B26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БАШКАРМА КОМИТЕТ</w:t>
            </w:r>
          </w:p>
        </w:tc>
      </w:tr>
    </w:tbl>
    <w:p w:rsidR="00966B26" w:rsidRPr="00966B26" w:rsidRDefault="00966B26" w:rsidP="00966B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6B2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  <w:r w:rsidRPr="00966B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966B26" w:rsidRPr="00966B26" w:rsidRDefault="00966B26" w:rsidP="00966B26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</w:pP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    ПОСТАНОВЛЕНИЕ                                                       КАРАР</w:t>
      </w:r>
    </w:p>
    <w:p w:rsidR="00966B26" w:rsidRPr="00966B26" w:rsidRDefault="00966B26" w:rsidP="00966B26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</w:pP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 </w:t>
      </w:r>
    </w:p>
    <w:p w:rsidR="00966B26" w:rsidRPr="00966B26" w:rsidRDefault="00966B26" w:rsidP="00966B26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</w:pP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     </w:t>
      </w: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2020 года                                                                                № </w:t>
      </w:r>
    </w:p>
    <w:p w:rsidR="00966B26" w:rsidRDefault="00966B26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B26" w:rsidRDefault="00966B26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966B26" w:rsidRDefault="00966B26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43B82" w:rsidRDefault="00543272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</w:p>
    <w:bookmarkEnd w:id="0"/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6B26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3EB9" w:rsidRDefault="00966B26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43EB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Default="00793030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EB9" w:rsidRDefault="009E7F5B" w:rsidP="00A40D44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 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643B82" w:rsidRDefault="00793030" w:rsidP="00A40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538A1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38A1" w:rsidRPr="005538A1">
        <w:rPr>
          <w:rFonts w:ascii="Times New Roman" w:hAnsi="Times New Roman" w:cs="Times New Roman"/>
          <w:sz w:val="28"/>
          <w:szCs w:val="28"/>
        </w:rPr>
        <w:t>.</w:t>
      </w:r>
    </w:p>
    <w:p w:rsidR="00B661D0" w:rsidRDefault="0079303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60C" w:rsidRPr="00DF1B7A" w:rsidRDefault="00793030" w:rsidP="00A40D44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3</w:t>
      </w:r>
      <w:r w:rsidR="00CE0BFE">
        <w:rPr>
          <w:rFonts w:ascii="Times New Roman" w:hAnsi="Times New Roman" w:cs="Times New Roman"/>
          <w:b w:val="0"/>
          <w:color w:val="auto"/>
        </w:rPr>
        <w:t>.</w:t>
      </w:r>
      <w:r w:rsidR="00AE3040">
        <w:rPr>
          <w:rFonts w:ascii="Times New Roman" w:hAnsi="Times New Roman" w:cs="Times New Roman"/>
          <w:b w:val="0"/>
          <w:color w:val="auto"/>
        </w:rPr>
        <w:t xml:space="preserve"> </w:t>
      </w:r>
      <w:r w:rsidR="006A38AB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A5360C"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A5360C"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="00A40D44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687C7D" w:rsidRPr="00DF1B7A" w:rsidRDefault="004B0D7B" w:rsidP="00A40D4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776">
        <w:rPr>
          <w:rFonts w:ascii="Times New Roman" w:hAnsi="Times New Roman" w:cs="Times New Roman"/>
          <w:bCs/>
          <w:sz w:val="28"/>
          <w:szCs w:val="28"/>
        </w:rPr>
        <w:t>5</w:t>
      </w:r>
      <w:r w:rsidR="00CE0BFE">
        <w:rPr>
          <w:rFonts w:ascii="Times New Roman" w:hAnsi="Times New Roman" w:cs="Times New Roman"/>
          <w:bCs/>
          <w:sz w:val="28"/>
          <w:szCs w:val="28"/>
        </w:rPr>
        <w:t>.</w:t>
      </w:r>
      <w:r w:rsidR="006A38A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E6C1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>
        <w:rPr>
          <w:rFonts w:ascii="Times New Roman" w:hAnsi="Times New Roman" w:cs="Times New Roman"/>
          <w:bCs/>
          <w:sz w:val="28"/>
          <w:szCs w:val="28"/>
        </w:rPr>
        <w:t>.</w:t>
      </w:r>
      <w:r w:rsidR="00AE6C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6D4E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793030" w:rsidRDefault="00BB0D00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lastRenderedPageBreak/>
        <w:t>Руководитель исполнительного</w:t>
      </w:r>
      <w:r w:rsidR="005538A1"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1B7A" w:rsidRPr="00DF1B7A" w:rsidRDefault="005538A1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BB0D00">
        <w:rPr>
          <w:rFonts w:ascii="Times New Roman" w:hAnsi="Times New Roman" w:cs="Times New Roman"/>
          <w:bCs/>
          <w:sz w:val="28"/>
          <w:szCs w:val="28"/>
        </w:rPr>
        <w:t>у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>ниципального</w:t>
      </w:r>
      <w:r w:rsidR="00BB0D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>образования</w:t>
      </w: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Default="00A40D44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Default="00A40D44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93030" w:rsidRPr="00643B82" w:rsidRDefault="00966B26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BF" w:rsidRPr="003C46BE" w:rsidRDefault="000A003D" w:rsidP="00A40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B82">
        <w:rPr>
          <w:rFonts w:ascii="Times New Roman" w:hAnsi="Times New Roman" w:cs="Times New Roman"/>
          <w:sz w:val="24"/>
          <w:szCs w:val="24"/>
        </w:rPr>
        <w:t xml:space="preserve"> 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966B26" w:rsidRPr="003C46BE">
        <w:rPr>
          <w:rFonts w:ascii="Times New Roman" w:hAnsi="Times New Roman" w:cs="Times New Roman"/>
          <w:sz w:val="28"/>
          <w:szCs w:val="28"/>
        </w:rPr>
        <w:t>О</w:t>
      </w:r>
      <w:r w:rsidR="00966B26">
        <w:rPr>
          <w:rFonts w:ascii="Times New Roman" w:hAnsi="Times New Roman" w:cs="Times New Roman"/>
          <w:sz w:val="28"/>
          <w:szCs w:val="28"/>
        </w:rPr>
        <w:t xml:space="preserve">т          </w:t>
      </w:r>
      <w:r w:rsidR="006C1BBF"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A40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A4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26" w:rsidRP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 w:rsidRPr="00966B2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93030" w:rsidRPr="0079303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79303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Default="0049228A" w:rsidP="0079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793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3321"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B661D0" w:rsidRPr="00B661D0" w:rsidRDefault="00793030" w:rsidP="00B66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40D44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A40D44">
        <w:rPr>
          <w:rFonts w:ascii="Times New Roman" w:hAnsi="Times New Roman" w:cs="Times New Roman"/>
          <w:sz w:val="28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не 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 w:rsidR="00B661D0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B661D0">
        <w:rPr>
          <w:rFonts w:ascii="Times New Roman" w:hAnsi="Times New Roman" w:cs="Times New Roman"/>
          <w:sz w:val="28"/>
          <w:szCs w:val="28"/>
        </w:rPr>
        <w:t>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B661D0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347D0C" w:rsidRPr="00D76C72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0D44" w:rsidRDefault="00A40D44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    </w:t>
      </w:r>
      <w:r w:rsidRPr="005774E8">
        <w:rPr>
          <w:rFonts w:ascii="Times New Roman" w:hAnsi="Times New Roman" w:cs="Times New Roman"/>
          <w:sz w:val="28"/>
          <w:szCs w:val="28"/>
        </w:rPr>
        <w:t>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</w:t>
      </w:r>
      <w:r w:rsidRPr="005774E8">
        <w:rPr>
          <w:rFonts w:ascii="Times New Roman" w:hAnsi="Times New Roman" w:cs="Times New Roman"/>
          <w:sz w:val="28"/>
          <w:szCs w:val="28"/>
        </w:rPr>
        <w:t>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D85EF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="00D85EF5" w:rsidRPr="00D85EF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>. </w:t>
      </w:r>
      <w:proofErr w:type="gramStart"/>
      <w:r w:rsidR="00E71B85" w:rsidRPr="001257C3">
        <w:rPr>
          <w:rFonts w:ascii="Times New Roman" w:eastAsia="Calibri" w:hAnsi="Times New Roman" w:cs="Times New Roman"/>
          <w:sz w:val="28"/>
        </w:rPr>
        <w:t xml:space="preserve">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End"/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7F68C5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793030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966B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налоговых расходов и проведения оценки налоговых расходов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A40D44" w:rsidRPr="001257C3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966B26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Исергаповского</w:t>
      </w:r>
      <w:proofErr w:type="spellEnd"/>
      <w:r w:rsidR="0079303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1257C3" w:rsidRPr="001257C3" w:rsidRDefault="0079303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5C6FF3" w:rsidRPr="001257C3" w:rsidTr="00A40D44">
        <w:tc>
          <w:tcPr>
            <w:tcW w:w="0" w:type="auto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A40D44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A40D44">
        <w:tc>
          <w:tcPr>
            <w:tcW w:w="0" w:type="auto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A40D44">
        <w:tc>
          <w:tcPr>
            <w:tcW w:w="0" w:type="auto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28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39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A40D44">
        <w:tc>
          <w:tcPr>
            <w:tcW w:w="0" w:type="auto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06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A40D44">
      <w:headerReference w:type="default" r:id="rId10"/>
      <w:pgSz w:w="11906" w:h="16838"/>
      <w:pgMar w:top="567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06" w:rsidRDefault="006B5C06" w:rsidP="005C6FF3">
      <w:pPr>
        <w:spacing w:after="0" w:line="240" w:lineRule="auto"/>
      </w:pPr>
      <w:r>
        <w:separator/>
      </w:r>
    </w:p>
  </w:endnote>
  <w:endnote w:type="continuationSeparator" w:id="0">
    <w:p w:rsidR="006B5C06" w:rsidRDefault="006B5C06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06" w:rsidRDefault="006B5C06" w:rsidP="005C6FF3">
      <w:pPr>
        <w:spacing w:after="0" w:line="240" w:lineRule="auto"/>
      </w:pPr>
      <w:r>
        <w:separator/>
      </w:r>
    </w:p>
  </w:footnote>
  <w:footnote w:type="continuationSeparator" w:id="0">
    <w:p w:rsidR="006B5C06" w:rsidRDefault="006B5C06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E94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372">
          <w:rPr>
            <w:noProof/>
          </w:rPr>
          <w:t>8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854BC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037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5C06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6B22"/>
    <w:rsid w:val="00966B26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11342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57B55-6ED3-40DC-8203-025A5652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2020-03-23T04:52:00Z</cp:lastPrinted>
  <dcterms:created xsi:type="dcterms:W3CDTF">2020-03-30T07:21:00Z</dcterms:created>
  <dcterms:modified xsi:type="dcterms:W3CDTF">2020-03-30T07:21:00Z</dcterms:modified>
</cp:coreProperties>
</file>