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2C313F" w:rsidRDefault="00D74DE9" w:rsidP="002C313F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2C313F" w:rsidTr="00D86EBA">
        <w:trPr>
          <w:trHeight w:val="1700"/>
        </w:trPr>
        <w:tc>
          <w:tcPr>
            <w:tcW w:w="4403" w:type="dxa"/>
            <w:hideMark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СОВЕТ ТУМБАРЛИНСКОГО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РАЙОНЫ  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ТОМБАРЛЫ АВЫЛ ЖИРЛЕГЕ СОВЕТЫ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2C313F" w:rsidTr="00D86EBA">
        <w:trPr>
          <w:trHeight w:val="621"/>
        </w:trPr>
        <w:tc>
          <w:tcPr>
            <w:tcW w:w="9705" w:type="dxa"/>
            <w:gridSpan w:val="3"/>
          </w:tcPr>
          <w:p w:rsidR="00D74DE9" w:rsidRPr="002C313F" w:rsidRDefault="00D74DE9" w:rsidP="002C313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2C313F" w:rsidRDefault="00473A61" w:rsidP="002C313F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ПРОЕКТ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2C313F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             </w:t>
            </w:r>
            <w:r w:rsidR="00473A61" w:rsidRPr="002C313F">
              <w:rPr>
                <w:sz w:val="28"/>
                <w:szCs w:val="28"/>
              </w:rPr>
              <w:t>_________</w:t>
            </w:r>
            <w:r w:rsidR="00293917" w:rsidRPr="002C313F">
              <w:rPr>
                <w:sz w:val="28"/>
                <w:szCs w:val="28"/>
              </w:rPr>
              <w:t xml:space="preserve"> </w:t>
            </w:r>
            <w:r w:rsidRPr="002C313F">
              <w:rPr>
                <w:sz w:val="28"/>
                <w:szCs w:val="28"/>
              </w:rPr>
              <w:t xml:space="preserve"> </w:t>
            </w:r>
            <w:r w:rsidRPr="002C313F">
              <w:rPr>
                <w:sz w:val="28"/>
                <w:szCs w:val="28"/>
                <w:lang w:val="tt-RU"/>
              </w:rPr>
              <w:t xml:space="preserve">2019г. </w:t>
            </w:r>
            <w:r w:rsidRPr="002C313F">
              <w:rPr>
                <w:sz w:val="28"/>
                <w:szCs w:val="28"/>
              </w:rPr>
              <w:t xml:space="preserve">          </w:t>
            </w:r>
            <w:proofErr w:type="spellStart"/>
            <w:r w:rsidRPr="002C313F">
              <w:rPr>
                <w:sz w:val="28"/>
                <w:szCs w:val="28"/>
              </w:rPr>
              <w:t>с</w:t>
            </w:r>
            <w:proofErr w:type="gramStart"/>
            <w:r w:rsidRPr="002C313F">
              <w:rPr>
                <w:sz w:val="28"/>
                <w:szCs w:val="28"/>
              </w:rPr>
              <w:t>.Т</w:t>
            </w:r>
            <w:proofErr w:type="gramEnd"/>
            <w:r w:rsidRPr="002C313F">
              <w:rPr>
                <w:sz w:val="28"/>
                <w:szCs w:val="28"/>
              </w:rPr>
              <w:t>атарска</w:t>
            </w:r>
            <w:r w:rsidR="00473A61" w:rsidRPr="002C313F">
              <w:rPr>
                <w:sz w:val="28"/>
                <w:szCs w:val="28"/>
              </w:rPr>
              <w:t>я</w:t>
            </w:r>
            <w:proofErr w:type="spellEnd"/>
            <w:r w:rsidR="00473A61" w:rsidRPr="002C313F">
              <w:rPr>
                <w:sz w:val="28"/>
                <w:szCs w:val="28"/>
              </w:rPr>
              <w:t xml:space="preserve"> </w:t>
            </w:r>
            <w:proofErr w:type="spellStart"/>
            <w:r w:rsidR="00473A61" w:rsidRPr="002C313F">
              <w:rPr>
                <w:sz w:val="28"/>
                <w:szCs w:val="28"/>
              </w:rPr>
              <w:t>Тумбарла</w:t>
            </w:r>
            <w:proofErr w:type="spellEnd"/>
            <w:r w:rsidR="00473A61" w:rsidRPr="002C313F">
              <w:rPr>
                <w:sz w:val="28"/>
                <w:szCs w:val="28"/>
              </w:rPr>
              <w:t xml:space="preserve">                  №__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bookmarkStart w:id="0" w:name="_GoBack"/>
      <w:r w:rsidRPr="002C313F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о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proofErr w:type="gramStart"/>
      <w:r w:rsidRPr="002C313F">
        <w:rPr>
          <w:rFonts w:eastAsia="Calibri"/>
          <w:bCs/>
          <w:sz w:val="28"/>
          <w:szCs w:val="28"/>
          <w:lang w:eastAsia="en-US"/>
        </w:rPr>
        <w:t>предоставлении</w:t>
      </w:r>
      <w:proofErr w:type="gramEnd"/>
      <w:r w:rsidRPr="002C313F">
        <w:rPr>
          <w:rFonts w:eastAsia="Calibri"/>
          <w:bCs/>
          <w:sz w:val="28"/>
          <w:szCs w:val="28"/>
          <w:lang w:eastAsia="en-US"/>
        </w:rPr>
        <w:t xml:space="preserve">  из бюджета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Тумбарлинского</w:t>
      </w:r>
      <w:proofErr w:type="spellEnd"/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сельского поселения  бюджету Бавлинского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муниципального района субсидий в целях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proofErr w:type="spellStart"/>
      <w:r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 возникающих при выполнении полномочий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органов местного самоуправления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 решению вопросов местного значения</w:t>
      </w:r>
    </w:p>
    <w:bookmarkEnd w:id="0"/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2C313F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РЕШИЛ: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2C313F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№1).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№2).</w:t>
      </w:r>
    </w:p>
    <w:p w:rsidR="00322663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 Решение вступает в силу по правоотношениям, возникающим 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 01.01.2020 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решения возложить на исполнительный комитет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="00322663">
        <w:rPr>
          <w:rFonts w:eastAsia="Calibri"/>
          <w:sz w:val="28"/>
          <w:szCs w:val="28"/>
          <w:lang w:eastAsia="en-US"/>
        </w:rPr>
        <w:t xml:space="preserve"> сельского поселени</w:t>
      </w:r>
      <w:r w:rsidRPr="002C313F">
        <w:rPr>
          <w:rFonts w:eastAsia="Calibri"/>
          <w:sz w:val="28"/>
          <w:szCs w:val="28"/>
          <w:lang w:eastAsia="en-US"/>
        </w:rPr>
        <w:t>я.</w:t>
      </w:r>
    </w:p>
    <w:p w:rsidR="00731F19" w:rsidRPr="002C313F" w:rsidRDefault="00731F19" w:rsidP="002C313F">
      <w:pPr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spacing w:line="240" w:lineRule="auto"/>
        <w:ind w:firstLine="0"/>
        <w:contextualSpacing/>
        <w:rPr>
          <w:sz w:val="28"/>
          <w:szCs w:val="28"/>
        </w:rPr>
      </w:pPr>
    </w:p>
    <w:p w:rsidR="00D9792F" w:rsidRPr="002C313F" w:rsidRDefault="00D9792F" w:rsidP="002C313F">
      <w:pPr>
        <w:spacing w:line="240" w:lineRule="auto"/>
        <w:contextualSpacing/>
        <w:rPr>
          <w:sz w:val="28"/>
          <w:szCs w:val="28"/>
        </w:rPr>
      </w:pPr>
    </w:p>
    <w:p w:rsidR="002F0B67" w:rsidRPr="002C313F" w:rsidRDefault="002F0B67" w:rsidP="002C313F">
      <w:pPr>
        <w:spacing w:line="240" w:lineRule="auto"/>
        <w:ind w:firstLine="851"/>
        <w:contextualSpacing/>
        <w:rPr>
          <w:sz w:val="28"/>
          <w:szCs w:val="28"/>
        </w:rPr>
      </w:pP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>Глава, Председатель</w:t>
      </w: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 w:rsidRPr="002C313F">
        <w:rPr>
          <w:sz w:val="28"/>
          <w:szCs w:val="28"/>
        </w:rPr>
        <w:t>Ямалетдинов</w:t>
      </w:r>
      <w:proofErr w:type="spellEnd"/>
      <w:r w:rsidRPr="002C313F">
        <w:rPr>
          <w:sz w:val="28"/>
          <w:szCs w:val="28"/>
        </w:rPr>
        <w:t xml:space="preserve"> Э.И.</w:t>
      </w:r>
    </w:p>
    <w:p w:rsidR="002C313F" w:rsidRPr="002C313F" w:rsidRDefault="002C313F" w:rsidP="00322663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Порядок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субсидий в целях </w:t>
      </w:r>
      <w:proofErr w:type="spellStart"/>
      <w:r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субсидий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(далее - Соглашение).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б) условия перечисления и расходования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в) объем бюджетных ассигнований, предусмотренных на предоставление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г) график перечисления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субсидий;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Для получения субсидии Исполнительный комитет Бавлинского муниципального района в сроки, определенные Исполнительным комитетом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- заявку на предоставление субсидии по форме, утвержденной Исполнительным комитетом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Субсидии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субсидий соответствующие средства подлежат перечислению в доход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10" w:history="1">
        <w:r w:rsidRPr="002C313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Контроль за целевым использованием осуществляют в соответствии с законодательством Исполнительный комитет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финансово-бюджетная палата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Pr="002C313F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Приложение №2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2C313F">
        <w:rPr>
          <w:rFonts w:eastAsia="Calibri"/>
          <w:sz w:val="28"/>
          <w:szCs w:val="28"/>
          <w:lang w:eastAsia="en-US"/>
        </w:rPr>
        <w:t>СОГЛАШЕНИЕ № ________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 предоставлении субсидий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выполнении полномочий органов местного самоуправления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____________________________, действующего на основании ________________________________________, и Исполнительный комитет Бавлинского муниципального района Республики Татарстан, в лице </w:t>
      </w:r>
      <w:r w:rsidR="00322663">
        <w:rPr>
          <w:rFonts w:eastAsia="Calibri"/>
          <w:sz w:val="28"/>
          <w:szCs w:val="28"/>
          <w:lang w:eastAsia="en-US"/>
        </w:rPr>
        <w:t>руководителя 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____________</w:t>
      </w:r>
      <w:r w:rsidR="00322663">
        <w:rPr>
          <w:rFonts w:eastAsia="Calibri"/>
          <w:sz w:val="28"/>
          <w:szCs w:val="28"/>
          <w:u w:val="single"/>
          <w:lang w:eastAsia="en-US"/>
        </w:rPr>
        <w:t>________________________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</w:t>
      </w:r>
      <w:r w:rsidR="00322663">
        <w:rPr>
          <w:rFonts w:eastAsia="Calibri"/>
          <w:sz w:val="28"/>
          <w:szCs w:val="28"/>
          <w:lang w:eastAsia="en-US"/>
        </w:rPr>
        <w:t>_</w:t>
      </w:r>
      <w:r w:rsidRPr="002C313F">
        <w:rPr>
          <w:rFonts w:eastAsia="Calibri"/>
          <w:sz w:val="28"/>
          <w:szCs w:val="28"/>
          <w:lang w:eastAsia="en-US"/>
        </w:rPr>
        <w:t xml:space="preserve">действующего на основании Положения, вместе именуемые  в  дальнейшем  "Стороны",  на  основании  Порядка предоставления субсидий   из   бюджета    муниципального  образования «город Бавлы» бюджету Бавлинского муниципального района  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 при  выполнении  полномочий органов местного самоуправления по решению   вопросов  местного  значения  заключили  настоящее  Соглашение  о нижеследующем.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субсидий в целях 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 расходных  обязательств,  возникающих  при выполнении полномочий  органов  местного  самоуправления  по решению вопросов местного значения на территории Бавлинского  муниципального района Республики Татарстан (далее – Субсидия).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1.2. Предоставление субсидий  Бавлинскому муниципальному району  осуществляется на следующие мероприятия:_____________________________ ____________________________________________________________________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(указать перечень мероприятий, на которые выделяются субсидии)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2. Порядок и условия предоставления и перечисления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2.1. Субсидия предоставляется в пределах бюджетных ассигнований, предусмотренных в решении о бюджете 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2.2. Общий размер субсидий, предоставляемых за счет средств бюджета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20_____ году составляет __________________ (________________________) рублей.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(сумма прописью)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2.3. Перечисление Субсидии Исполнительному комитету            Бавлинского муниципального района  Республики Татарстан осуществляется Исполнительным комитетом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 работ).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3.1. Исполнительный комитет 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3.1.1. Обеспечить предоставление Субсидий в бюджет района в порядке и при соблюдении исполнительным комитетом района условий предоставления Субсидий, установленных настоящим Соглашением;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3.1.2. Осуществлять контроль за целевым использованием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вправе: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3.2.2. Потребовать возврата Субсидии в случае нарушения районом условий, установленных при предоставлении Субсидии.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3.3.1. Обеспечить целевое использование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2C313F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субсидии, предоставленной бюджету района на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2C313F" w:rsidRDefault="002C313F" w:rsidP="0032266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Порядок возврата Субсидии при нарушении условий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ее предоставления и неиспользованного остатка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4.1. Возврат Субсидии в случае нарушения условий ее предоставления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Районом остаток Субсидии возвращается в доход бюджета 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Средства Субсидии,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за целевым использованием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осуществляет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целевым использованием Субсидии.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7.1. Исполнительный комитет района несет ответственность за целевое использование выделенной Субсидии в соответствии с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8. Порядок предоставления отчетности об использовании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8.1.Исполнительный комитет Бавлинского муниципального района представляет отчеты в соответствии с </w:t>
      </w:r>
      <w:hyperlink w:anchor="Par117" w:history="1">
        <w:r w:rsidRPr="002C313F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2C313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C313F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2C313F" w:rsidRPr="00322663" w:rsidTr="00CA4C88">
        <w:trPr>
          <w:trHeight w:val="2182"/>
        </w:trPr>
        <w:tc>
          <w:tcPr>
            <w:tcW w:w="5211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322663">
              <w:rPr>
                <w:rFonts w:eastAsia="Calibri"/>
                <w:sz w:val="24"/>
                <w:szCs w:val="24"/>
                <w:lang w:eastAsia="en-US"/>
              </w:rPr>
              <w:t>Тумбарлинского</w:t>
            </w:r>
            <w:proofErr w:type="spellEnd"/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района: _____________________________________</w:t>
            </w:r>
            <w:r w:rsidR="00322663">
              <w:rPr>
                <w:rFonts w:eastAsia="Calibri"/>
                <w:sz w:val="24"/>
                <w:szCs w:val="24"/>
                <w:lang w:eastAsia="en-US"/>
              </w:rPr>
              <w:t>_______________________________</w:t>
            </w:r>
          </w:p>
        </w:tc>
        <w:tc>
          <w:tcPr>
            <w:tcW w:w="4820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Исполнительный комитет</w:t>
            </w:r>
            <w:r w:rsidRPr="00322663">
              <w:rPr>
                <w:sz w:val="24"/>
                <w:szCs w:val="24"/>
              </w:rPr>
              <w:t xml:space="preserve"> 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района: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  <w:r w:rsidR="00322663"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</w:tc>
      </w:tr>
    </w:tbl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322663">
        <w:rPr>
          <w:rFonts w:eastAsia="Calibri"/>
          <w:sz w:val="24"/>
          <w:szCs w:val="24"/>
          <w:lang w:eastAsia="en-US"/>
        </w:rPr>
        <w:t>11. Подписи Сторон</w:t>
      </w:r>
    </w:p>
    <w:p w:rsidR="00322663" w:rsidRPr="00322663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C313F" w:rsidRPr="00322663" w:rsidTr="00CA4C88">
        <w:tc>
          <w:tcPr>
            <w:tcW w:w="4786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322663">
              <w:rPr>
                <w:sz w:val="24"/>
                <w:szCs w:val="24"/>
              </w:rPr>
              <w:t>Тумбарлинского</w:t>
            </w:r>
            <w:proofErr w:type="spellEnd"/>
            <w:r w:rsidRPr="00322663">
              <w:rPr>
                <w:sz w:val="24"/>
                <w:szCs w:val="24"/>
              </w:rPr>
              <w:t xml:space="preserve"> сельского поселения Бавлинского муниципального района                    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М.П.                           (Ф.И.О.)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____________</w:t>
            </w:r>
          </w:p>
          <w:p w:rsid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М.П.                           (Ф.И.О.)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«__»_________20 ___г.</w:t>
            </w:r>
          </w:p>
        </w:tc>
      </w:tr>
    </w:tbl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Отчет о расходах,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согласно Соглашения от ____________ № _____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 «___»__________20____г.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Исполнитель:  ___________________  ______________________  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(должность)                                         подпись                                  (расшифровка подписи)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  ________________  _____________________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подпись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line="240" w:lineRule="auto"/>
        <w:contextualSpacing/>
        <w:rPr>
          <w:color w:val="000000"/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sectPr w:rsidR="00731F19" w:rsidRPr="002C313F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58" w:rsidRDefault="009A1758" w:rsidP="00742532">
      <w:pPr>
        <w:spacing w:line="240" w:lineRule="auto"/>
      </w:pPr>
      <w:r>
        <w:separator/>
      </w:r>
    </w:p>
  </w:endnote>
  <w:endnote w:type="continuationSeparator" w:id="0">
    <w:p w:rsidR="009A1758" w:rsidRDefault="009A175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58" w:rsidRDefault="009A1758" w:rsidP="00742532">
      <w:pPr>
        <w:spacing w:line="240" w:lineRule="auto"/>
      </w:pPr>
      <w:r>
        <w:separator/>
      </w:r>
    </w:p>
  </w:footnote>
  <w:footnote w:type="continuationSeparator" w:id="0">
    <w:p w:rsidR="009A1758" w:rsidRDefault="009A1758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533CD3"/>
    <w:rsid w:val="00534202"/>
    <w:rsid w:val="005C2DCE"/>
    <w:rsid w:val="005E199F"/>
    <w:rsid w:val="006B2660"/>
    <w:rsid w:val="006F248C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93914"/>
    <w:rsid w:val="008C4C73"/>
    <w:rsid w:val="00960E6B"/>
    <w:rsid w:val="009819EB"/>
    <w:rsid w:val="009959BA"/>
    <w:rsid w:val="009A1758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47E7-130E-474F-86DB-E1E40447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2019-12-11T11:38:00Z</dcterms:created>
  <dcterms:modified xsi:type="dcterms:W3CDTF">2019-12-11T11:38:00Z</dcterms:modified>
</cp:coreProperties>
</file>