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 </w:t>
            </w:r>
            <w:r w:rsidR="00983EDC">
              <w:rPr>
                <w:sz w:val="28"/>
                <w:szCs w:val="28"/>
              </w:rPr>
              <w:t>САЛИХОВСКОГО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983EDC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983EDC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983EDC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="00D74DE9"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983EDC">
              <w:rPr>
                <w:b/>
                <w:sz w:val="28"/>
                <w:szCs w:val="28"/>
              </w:rPr>
              <w:t xml:space="preserve">           </w:t>
            </w:r>
            <w:r w:rsidRPr="00120CD5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="00983EDC">
              <w:rPr>
                <w:sz w:val="28"/>
                <w:szCs w:val="28"/>
              </w:rPr>
              <w:t xml:space="preserve">          </w:t>
            </w:r>
            <w:proofErr w:type="spellStart"/>
            <w:r w:rsidR="00983EDC">
              <w:rPr>
                <w:sz w:val="28"/>
                <w:szCs w:val="28"/>
              </w:rPr>
              <w:t>с</w:t>
            </w:r>
            <w:proofErr w:type="gramStart"/>
            <w:r w:rsidR="00983EDC">
              <w:rPr>
                <w:sz w:val="28"/>
                <w:szCs w:val="28"/>
              </w:rPr>
              <w:t>.Н</w:t>
            </w:r>
            <w:proofErr w:type="gramEnd"/>
            <w:r w:rsidR="00983EDC">
              <w:rPr>
                <w:sz w:val="28"/>
                <w:szCs w:val="28"/>
              </w:rPr>
              <w:t>овые</w:t>
            </w:r>
            <w:proofErr w:type="spellEnd"/>
            <w:r w:rsidR="00983EDC">
              <w:rPr>
                <w:sz w:val="28"/>
                <w:szCs w:val="28"/>
              </w:rPr>
              <w:t xml:space="preserve"> </w:t>
            </w:r>
            <w:proofErr w:type="spellStart"/>
            <w:r w:rsidR="00983EDC">
              <w:rPr>
                <w:sz w:val="28"/>
                <w:szCs w:val="28"/>
              </w:rPr>
              <w:t>Чути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</w:t>
            </w:r>
            <w:r w:rsidR="00983EDC">
              <w:rPr>
                <w:sz w:val="28"/>
                <w:szCs w:val="28"/>
              </w:rPr>
              <w:t xml:space="preserve">         </w:t>
            </w:r>
            <w:r w:rsidR="00473A61" w:rsidRPr="00120CD5">
              <w:rPr>
                <w:sz w:val="28"/>
                <w:szCs w:val="28"/>
              </w:rPr>
              <w:t xml:space="preserve">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spacing w:line="240" w:lineRule="auto"/>
              <w:ind w:right="4097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О предоставлении иных межбюджетных трансфертов из бюджета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на осуществление части полномочий  по решению вопросов местного значения в соответствии с заключенными соглашениями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В соответствии со статьей 142.5 Бюджетного кодекса Российской Федерации  Совет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РЕШИЛ: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1. Иные межбюджетные трансферты</w:t>
            </w:r>
            <w:r w:rsidRPr="00120C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из бюджета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Бавлинского муниципального района (далее Исполнительный комитет сельского поселения).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на соответствующий финансовый год  и плановый период» на указанные цели.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4. Распределение иных межбюджетных трансфертов бюджету Бавлинского муниципального района утверждается решением Совета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</w:t>
            </w:r>
            <w:r w:rsidRPr="00120CD5">
              <w:rPr>
                <w:sz w:val="28"/>
                <w:szCs w:val="28"/>
              </w:rPr>
              <w:lastRenderedPageBreak/>
              <w:t>поселения»  на соответствующий финансовый год и плановый период».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5. Цели и порядок предоставления иных межбюджетных трансфертов устанавливаются соглашениями, заключаемыми между Исполнительным комитетом  сельского поселения  и исполнительным комитетом района.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а) целевое назначение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б) условия предоставления и расходования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в) объем бюджетных ассигнований, предусмотренных на предоставление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г) график перечисления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д) порядок осуществления </w:t>
            </w:r>
            <w:proofErr w:type="gramStart"/>
            <w:r w:rsidRPr="00120CD5">
              <w:rPr>
                <w:sz w:val="28"/>
                <w:szCs w:val="28"/>
              </w:rPr>
              <w:t>контроля за</w:t>
            </w:r>
            <w:proofErr w:type="gramEnd"/>
            <w:r w:rsidRPr="00120CD5">
              <w:rPr>
                <w:sz w:val="28"/>
                <w:szCs w:val="28"/>
              </w:rPr>
              <w:t xml:space="preserve"> соблюдением условий, установленных для предоставления и расходования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 иные межбюджетные трансферты.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7. Подготовка проекта соглашения осуществляется Исполнительным комитетом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8. Проект соглашения направляется Исполнительным комитетом  сельского поселения  исполнительному комитету района.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9. Соглашение подписывается руководителем Исполнительного комитета  сельского поселения  и руководителем исполнительного комитета района.</w:t>
            </w:r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10. Объем </w:t>
            </w:r>
            <w:r w:rsidRPr="00120CD5">
              <w:rPr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>иных межбюджетных трансфертов,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rFonts w:cs="Arial"/>
                <w:sz w:val="28"/>
                <w:szCs w:val="28"/>
              </w:rPr>
              <w:t xml:space="preserve">11. </w:t>
            </w:r>
            <w:r w:rsidRPr="00120C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0CD5">
              <w:rPr>
                <w:rFonts w:cs="Arial"/>
                <w:sz w:val="28"/>
                <w:szCs w:val="28"/>
              </w:rPr>
              <w:t xml:space="preserve">Иные межбюджетные трансферты  перечисляются Исполнительным комитетом </w:t>
            </w:r>
            <w:r w:rsidRPr="00120CD5">
              <w:rPr>
                <w:sz w:val="28"/>
                <w:szCs w:val="28"/>
              </w:rPr>
              <w:t xml:space="preserve"> сельского поселения </w:t>
            </w:r>
            <w:r w:rsidRPr="00120CD5">
              <w:rPr>
                <w:rFonts w:cs="Arial"/>
                <w:sz w:val="28"/>
                <w:szCs w:val="28"/>
              </w:rPr>
              <w:t xml:space="preserve"> 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120CD5" w:rsidRPr="00120CD5" w:rsidRDefault="00120CD5" w:rsidP="00120CD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подлежат перечислению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120CD5" w:rsidRPr="00120CD5" w:rsidRDefault="00120CD5" w:rsidP="00120CD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иных межбюджетных трансфертов подлежит возврату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983EDC">
              <w:rPr>
                <w:sz w:val="28"/>
                <w:szCs w:val="28"/>
              </w:rPr>
              <w:t>Салиховского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 в соответствии с требованиями Бюджетного </w:t>
            </w:r>
            <w:hyperlink r:id="rId9" w:history="1">
              <w:r w:rsidRPr="00120CD5">
                <w:rPr>
                  <w:rStyle w:val="af1"/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120CD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Российской Федерации.</w:t>
            </w:r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39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14. </w:t>
            </w:r>
            <w:proofErr w:type="gramStart"/>
            <w:r w:rsidRPr="00120CD5">
              <w:rPr>
                <w:sz w:val="28"/>
                <w:szCs w:val="28"/>
              </w:rPr>
              <w:t>Контроль за</w:t>
            </w:r>
            <w:proofErr w:type="gramEnd"/>
            <w:r w:rsidRPr="00120CD5">
              <w:rPr>
                <w:sz w:val="28"/>
                <w:szCs w:val="28"/>
              </w:rPr>
              <w:t xml:space="preserve"> целевым использованием  иных межбюджетных трансфертов  осуществляют в соответствии с законодательством Исполнительный комитет  сельского поселения и финансово-бюджетная  палата района.</w:t>
            </w: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</w:t>
            </w:r>
            <w:r w:rsidR="00983EDC">
              <w:rPr>
                <w:sz w:val="28"/>
                <w:szCs w:val="28"/>
              </w:rPr>
              <w:t xml:space="preserve">                З.С. Галлямутдинов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B7" w:rsidRDefault="00FF08B7" w:rsidP="00742532">
      <w:pPr>
        <w:spacing w:line="240" w:lineRule="auto"/>
      </w:pPr>
      <w:r>
        <w:separator/>
      </w:r>
    </w:p>
  </w:endnote>
  <w:endnote w:type="continuationSeparator" w:id="0">
    <w:p w:rsidR="00FF08B7" w:rsidRDefault="00FF08B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B7" w:rsidRDefault="00FF08B7" w:rsidP="00742532">
      <w:pPr>
        <w:spacing w:line="240" w:lineRule="auto"/>
      </w:pPr>
      <w:r>
        <w:separator/>
      </w:r>
    </w:p>
  </w:footnote>
  <w:footnote w:type="continuationSeparator" w:id="0">
    <w:p w:rsidR="00FF08B7" w:rsidRDefault="00FF08B7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1923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846DF"/>
    <w:rsid w:val="00893914"/>
    <w:rsid w:val="008A1B40"/>
    <w:rsid w:val="008C4C73"/>
    <w:rsid w:val="008D6400"/>
    <w:rsid w:val="00960E6B"/>
    <w:rsid w:val="009819EB"/>
    <w:rsid w:val="00983EDC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B61CC"/>
    <w:rsid w:val="00F824AA"/>
    <w:rsid w:val="00FA64BC"/>
    <w:rsid w:val="00FA7FFE"/>
    <w:rsid w:val="00FF08B7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552D-D4DC-40BB-933E-8CF58936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2019-12-11T05:58:00Z</dcterms:created>
  <dcterms:modified xsi:type="dcterms:W3CDTF">2019-12-11T05:58:00Z</dcterms:modified>
</cp:coreProperties>
</file>