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 xml:space="preserve">ПОПОВСКОГО </w:t>
            </w: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ПОПОВКА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03608B" w:rsidP="001A1BB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AA647D"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 w:rsidR="00AA647D">
              <w:rPr>
                <w:sz w:val="28"/>
                <w:szCs w:val="28"/>
              </w:rPr>
              <w:t xml:space="preserve"> г.</w:t>
            </w:r>
            <w:r w:rsidR="00AA647D" w:rsidRPr="00CD45A9">
              <w:rPr>
                <w:sz w:val="28"/>
                <w:szCs w:val="28"/>
              </w:rPr>
              <w:t xml:space="preserve">                                   </w:t>
            </w:r>
            <w:r w:rsidR="00AA647D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AA647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A647D" w:rsidRPr="0042321C" w:rsidRDefault="00AA647D" w:rsidP="0003608B">
      <w:pPr>
        <w:jc w:val="center"/>
        <w:rPr>
          <w:sz w:val="28"/>
          <w:szCs w:val="28"/>
        </w:rPr>
      </w:pPr>
      <w:r w:rsidRPr="0042321C">
        <w:rPr>
          <w:sz w:val="28"/>
          <w:szCs w:val="28"/>
        </w:rPr>
        <w:t>с.Поповка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Pr="00FA7FFE">
        <w:rPr>
          <w:sz w:val="28"/>
          <w:szCs w:val="28"/>
        </w:rPr>
        <w:t>градостроительного</w:t>
      </w:r>
      <w:proofErr w:type="gram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>
        <w:rPr>
          <w:sz w:val="28"/>
          <w:szCs w:val="28"/>
        </w:rPr>
        <w:t>Поповского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утвержденные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Поповского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30.03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55</w:t>
      </w:r>
    </w:p>
    <w:p w:rsidR="00AA647D" w:rsidRPr="00CD45A9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10.08.2018 №73</w:t>
      </w:r>
      <w:r w:rsidR="00994082">
        <w:rPr>
          <w:sz w:val="28"/>
          <w:szCs w:val="28"/>
        </w:rPr>
        <w:t>, от 20.11.2018 №86</w:t>
      </w:r>
      <w:r>
        <w:rPr>
          <w:sz w:val="28"/>
          <w:szCs w:val="28"/>
        </w:rPr>
        <w:t>)</w:t>
      </w:r>
    </w:p>
    <w:bookmarkEnd w:id="0"/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AA647D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 xml:space="preserve">Поповского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r>
        <w:rPr>
          <w:sz w:val="28"/>
          <w:szCs w:val="28"/>
        </w:rPr>
        <w:t>Поповского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r>
        <w:rPr>
          <w:sz w:val="28"/>
          <w:szCs w:val="28"/>
        </w:rPr>
        <w:t>Поповского</w:t>
      </w:r>
      <w:r w:rsidRPr="00E942F8">
        <w:rPr>
          <w:sz w:val="28"/>
          <w:szCs w:val="28"/>
        </w:rPr>
        <w:t xml:space="preserve"> сельского поселения Бавлинского муниципального района от 30.03.2018 </w:t>
      </w:r>
      <w:r>
        <w:rPr>
          <w:sz w:val="28"/>
          <w:szCs w:val="28"/>
        </w:rPr>
        <w:t>№ 55</w:t>
      </w:r>
      <w:r w:rsidRPr="00E942F8">
        <w:rPr>
          <w:sz w:val="28"/>
          <w:szCs w:val="28"/>
        </w:rPr>
        <w:t xml:space="preserve"> </w:t>
      </w:r>
      <w:r>
        <w:rPr>
          <w:sz w:val="28"/>
          <w:szCs w:val="28"/>
        </w:rPr>
        <w:t>(с изм. от 10</w:t>
      </w:r>
      <w:r w:rsidRPr="00E942F8">
        <w:rPr>
          <w:sz w:val="28"/>
          <w:szCs w:val="28"/>
        </w:rPr>
        <w:t>.08.2018</w:t>
      </w:r>
      <w:r>
        <w:rPr>
          <w:sz w:val="28"/>
          <w:szCs w:val="28"/>
        </w:rPr>
        <w:t xml:space="preserve"> №73</w:t>
      </w:r>
      <w:r w:rsidR="00994082">
        <w:rPr>
          <w:sz w:val="28"/>
          <w:szCs w:val="28"/>
        </w:rPr>
        <w:t>, от 20.11.2018 №86</w:t>
      </w:r>
      <w:r w:rsidRPr="00E942F8">
        <w:rPr>
          <w:sz w:val="28"/>
          <w:szCs w:val="28"/>
        </w:rPr>
        <w:t>) следующие изменения: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Pr="001A1BBB">
        <w:t xml:space="preserve"> 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 xml:space="preserve"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</w:t>
      </w:r>
      <w:r w:rsidR="00994082" w:rsidRPr="00994082">
        <w:rPr>
          <w:sz w:val="28"/>
          <w:szCs w:val="28"/>
        </w:rPr>
        <w:lastRenderedPageBreak/>
        <w:t>ведения сельского хозяйства, садоводства и огородничества, развития объектов сельскохозяйственного назначения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t>Абзац после таблицы 2 в</w:t>
      </w:r>
      <w:r w:rsidR="00994082">
        <w:rPr>
          <w:sz w:val="28"/>
          <w:szCs w:val="28"/>
        </w:rPr>
        <w:t xml:space="preserve"> 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AA647D" w:rsidRPr="00994082">
        <w:rPr>
          <w:sz w:val="28"/>
          <w:szCs w:val="28"/>
        </w:rPr>
        <w:t xml:space="preserve"> 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  <w:r w:rsidR="00AA647D" w:rsidRPr="00994082">
        <w:rPr>
          <w:b/>
          <w:bCs/>
          <w:sz w:val="28"/>
          <w:szCs w:val="28"/>
        </w:rPr>
        <w:t xml:space="preserve"> 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</w:t>
      </w:r>
      <w:proofErr w:type="gramStart"/>
      <w:r w:rsidR="00994082" w:rsidRPr="0099408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851"/>
        <w:rPr>
          <w:sz w:val="28"/>
          <w:szCs w:val="28"/>
        </w:rPr>
      </w:pPr>
    </w:p>
    <w:p w:rsidR="00AA647D" w:rsidRPr="00707390" w:rsidRDefault="00AA647D" w:rsidP="00AA647D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Поповского </w:t>
      </w:r>
      <w:r w:rsidRPr="00707390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</w:t>
      </w:r>
      <w:r w:rsidR="001A1BB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707390">
        <w:rPr>
          <w:sz w:val="28"/>
          <w:szCs w:val="28"/>
        </w:rPr>
        <w:t xml:space="preserve">    </w:t>
      </w:r>
      <w:r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С.А.Попов</w:t>
      </w:r>
      <w:proofErr w:type="spellEnd"/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A1BBB"/>
    <w:rsid w:val="001D0387"/>
    <w:rsid w:val="005056D1"/>
    <w:rsid w:val="005A65B8"/>
    <w:rsid w:val="00994082"/>
    <w:rsid w:val="00AA647D"/>
    <w:rsid w:val="00D91F7B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2019-03-04T13:04:00Z</dcterms:created>
  <dcterms:modified xsi:type="dcterms:W3CDTF">2019-03-04T13:04:00Z</dcterms:modified>
</cp:coreProperties>
</file>