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0B" w:rsidRPr="000B130B" w:rsidRDefault="000B130B" w:rsidP="00B43665">
      <w:pPr>
        <w:spacing w:after="0" w:line="240" w:lineRule="auto"/>
        <w:jc w:val="center"/>
        <w:rPr>
          <w:rFonts w:ascii="Times New Roman" w:eastAsia="Times New Roman" w:hAnsi="Times New Roman" w:cs="Times New Roman"/>
          <w:sz w:val="24"/>
          <w:szCs w:val="24"/>
          <w:lang w:eastAsia="ru-RU"/>
        </w:rPr>
      </w:pPr>
      <w:r w:rsidRPr="000B130B">
        <w:rPr>
          <w:rFonts w:ascii="Arial" w:eastAsia="Times New Roman" w:hAnsi="Arial" w:cs="Arial"/>
          <w:b/>
          <w:bCs/>
          <w:color w:val="606160"/>
          <w:sz w:val="24"/>
          <w:szCs w:val="24"/>
          <w:lang w:eastAsia="ru-RU"/>
        </w:rPr>
        <w:t>Разъяснения по заполнению сведений о доходах претендентами на должность судьи об имуществе, принадлежащем ему на праве собственности и обязательствах имущественного характера</w:t>
      </w:r>
      <w:r w:rsidRPr="000B130B">
        <w:rPr>
          <w:rFonts w:ascii="Arial" w:eastAsia="Times New Roman" w:hAnsi="Arial" w:cs="Arial"/>
          <w:color w:val="606160"/>
          <w:sz w:val="24"/>
          <w:szCs w:val="24"/>
          <w:lang w:eastAsia="ru-RU"/>
        </w:rPr>
        <w:t> </w:t>
      </w:r>
      <w:r w:rsidRPr="000B130B">
        <w:rPr>
          <w:rFonts w:ascii="Arial" w:eastAsia="Times New Roman" w:hAnsi="Arial" w:cs="Arial"/>
          <w:color w:val="606160"/>
          <w:sz w:val="24"/>
          <w:szCs w:val="24"/>
          <w:lang w:eastAsia="ru-RU"/>
        </w:rPr>
        <w:br/>
      </w:r>
    </w:p>
    <w:p w:rsidR="000B130B" w:rsidRPr="000B130B" w:rsidRDefault="000B130B" w:rsidP="00B43665">
      <w:pPr>
        <w:spacing w:before="225" w:after="0" w:line="240" w:lineRule="auto"/>
        <w:jc w:val="center"/>
        <w:rPr>
          <w:rFonts w:ascii="Arial" w:eastAsia="Times New Roman" w:hAnsi="Arial" w:cs="Arial"/>
          <w:color w:val="606160"/>
          <w:sz w:val="24"/>
          <w:szCs w:val="24"/>
          <w:lang w:eastAsia="ru-RU"/>
        </w:rPr>
      </w:pPr>
    </w:p>
    <w:p w:rsidR="000B130B" w:rsidRPr="000B130B" w:rsidRDefault="000B130B" w:rsidP="000B130B">
      <w:pPr>
        <w:spacing w:before="225" w:after="0" w:line="240" w:lineRule="auto"/>
        <w:jc w:val="center"/>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МЕТОДИЧЕСКИЕ РЕКОМЕНДАЦИИ МИНИСТЕРСТВА ТРУДА И СОЦИАЛЬНОЙ ЗАЩИТЫ РОССИЙСКОЙ ФЕДЕРАЦИИ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bookmarkStart w:id="0" w:name="_GoBack"/>
      <w:bookmarkEnd w:id="0"/>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I. Представление сведений о доходах, расходах, об имуществе и обязательствах имущественного характера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Лица, обязанные представлять сведения о доходах, расходах, об имуществе и обязательствах имущественного характера</w:t>
      </w:r>
    </w:p>
    <w:p w:rsidR="000B130B" w:rsidRPr="000B130B" w:rsidRDefault="000B130B" w:rsidP="000B130B">
      <w:pPr>
        <w:numPr>
          <w:ilvl w:val="0"/>
          <w:numId w:val="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государственными и муниципальными служащими, замещающим должности, включенные в перечни, установленные нормативными правовыми актами Российской Федерации;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г</w:t>
      </w:r>
      <w:proofErr w:type="gramEnd"/>
      <w:r w:rsidRPr="000B130B">
        <w:rPr>
          <w:rFonts w:ascii="Arial" w:eastAsia="Times New Roman" w:hAnsi="Arial" w:cs="Arial"/>
          <w:color w:val="606160"/>
          <w:sz w:val="24"/>
          <w:szCs w:val="24"/>
          <w:lang w:eastAsia="ru-RU"/>
        </w:rPr>
        <w:t>)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установленные федеральными государственными органами.</w:t>
      </w:r>
    </w:p>
    <w:p w:rsidR="000B130B" w:rsidRPr="000B130B" w:rsidRDefault="000B130B" w:rsidP="000B130B">
      <w:pPr>
        <w:numPr>
          <w:ilvl w:val="0"/>
          <w:numId w:val="2"/>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lastRenderedPageBreak/>
        <w:t>а</w:t>
      </w:r>
      <w:proofErr w:type="gramEnd"/>
      <w:r w:rsidRPr="000B130B">
        <w:rPr>
          <w:rFonts w:ascii="Arial" w:eastAsia="Times New Roman" w:hAnsi="Arial" w:cs="Arial"/>
          <w:color w:val="606160"/>
          <w:sz w:val="24"/>
          <w:szCs w:val="24"/>
          <w:lang w:eastAsia="ru-RU"/>
        </w:rPr>
        <w:t>) государственной должности Российской Федерации, государственной должности субъекта Российской Федерации, муниципальной должности;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любой должности государственной службы;</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должности муниципальной службы, включенной в перечни, установленные нормативными правовыми актами Российской Федерации;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д</w:t>
      </w:r>
      <w:proofErr w:type="gramEnd"/>
      <w:r w:rsidRPr="000B130B">
        <w:rPr>
          <w:rFonts w:ascii="Arial" w:eastAsia="Times New Roman" w:hAnsi="Arial" w:cs="Arial"/>
          <w:color w:val="606160"/>
          <w:sz w:val="24"/>
          <w:szCs w:val="24"/>
          <w:lang w:eastAsia="ru-RU"/>
        </w:rPr>
        <w:t>)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установленные федеральными государственными органами.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Обязательность представления сведений</w:t>
      </w:r>
    </w:p>
    <w:p w:rsidR="000B130B" w:rsidRPr="000B130B" w:rsidRDefault="000B130B" w:rsidP="000B130B">
      <w:pPr>
        <w:numPr>
          <w:ilvl w:val="0"/>
          <w:numId w:val="3"/>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B130B" w:rsidRPr="000B130B" w:rsidRDefault="000B130B" w:rsidP="000B130B">
      <w:pPr>
        <w:numPr>
          <w:ilvl w:val="0"/>
          <w:numId w:val="3"/>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Сроки представления сведений</w:t>
      </w:r>
    </w:p>
    <w:p w:rsidR="000B130B" w:rsidRPr="000B130B" w:rsidRDefault="000B130B" w:rsidP="000B130B">
      <w:pPr>
        <w:numPr>
          <w:ilvl w:val="0"/>
          <w:numId w:val="4"/>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B130B" w:rsidRPr="000B130B" w:rsidRDefault="000B130B" w:rsidP="000B130B">
      <w:pPr>
        <w:numPr>
          <w:ilvl w:val="0"/>
          <w:numId w:val="4"/>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Служащие (работники) представляют сведения ежегодно в следующие сроки: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б) не позднее 30 апреля года, следующего за отчетным (федеральные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w:t>
      </w:r>
      <w:r w:rsidRPr="000B130B">
        <w:rPr>
          <w:rFonts w:ascii="Arial" w:eastAsia="Times New Roman" w:hAnsi="Arial" w:cs="Arial"/>
          <w:color w:val="606160"/>
          <w:sz w:val="24"/>
          <w:szCs w:val="24"/>
          <w:lang w:eastAsia="ru-RU"/>
        </w:rPr>
        <w:lastRenderedPageBreak/>
        <w:t>создаваемых для выполнения задач, поставленных перед федеральными государственными органами).</w:t>
      </w:r>
    </w:p>
    <w:p w:rsidR="000B130B" w:rsidRPr="000B130B" w:rsidRDefault="000B130B" w:rsidP="000B130B">
      <w:pPr>
        <w:numPr>
          <w:ilvl w:val="0"/>
          <w:numId w:val="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Сведения могут быть представлены служащим (работником) в любое время, начиная с 1 января года, следующего за отчетным.</w:t>
      </w:r>
    </w:p>
    <w:p w:rsidR="000B130B" w:rsidRPr="000B130B" w:rsidRDefault="000B130B" w:rsidP="000B130B">
      <w:pPr>
        <w:numPr>
          <w:ilvl w:val="0"/>
          <w:numId w:val="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Лица, в отношении которых представляются сведения</w:t>
      </w:r>
    </w:p>
    <w:p w:rsidR="000B130B" w:rsidRPr="000B130B" w:rsidRDefault="000B130B" w:rsidP="000B130B">
      <w:pPr>
        <w:numPr>
          <w:ilvl w:val="0"/>
          <w:numId w:val="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Сведения представляются отдельно:</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в отношении служащего (работника),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в отношении его супруги (супруга),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в отношении каждого несовершеннолетнего ребенка служащего (работника).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B130B" w:rsidRPr="000B130B" w:rsidRDefault="000B130B" w:rsidP="000B130B">
      <w:pPr>
        <w:numPr>
          <w:ilvl w:val="0"/>
          <w:numId w:val="7"/>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Отчетный период и отчетная дата представления сведений</w:t>
      </w:r>
      <w:r w:rsidRPr="000B130B">
        <w:rPr>
          <w:rFonts w:ascii="Arial" w:eastAsia="Times New Roman" w:hAnsi="Arial" w:cs="Arial"/>
          <w:color w:val="606160"/>
          <w:sz w:val="24"/>
          <w:szCs w:val="24"/>
          <w:lang w:eastAsia="ru-RU"/>
        </w:rPr>
        <w:t>, установленные для граждан и служащих (работников), различны:</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гражданин представляет:</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служащий (работник) представляет ежегодно:</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Замещение конкретной должности на отчетную дату как основание для представления сведений</w:t>
      </w:r>
    </w:p>
    <w:p w:rsidR="000B130B" w:rsidRPr="000B130B" w:rsidRDefault="000B130B" w:rsidP="000B130B">
      <w:pPr>
        <w:numPr>
          <w:ilvl w:val="0"/>
          <w:numId w:val="8"/>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Служащий (работник) должен представить сведения, если по состоянию на 31 декабря отчетного года: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lastRenderedPageBreak/>
        <w:t>а</w:t>
      </w:r>
      <w:proofErr w:type="gramEnd"/>
      <w:r w:rsidRPr="000B130B">
        <w:rPr>
          <w:rFonts w:ascii="Arial" w:eastAsia="Times New Roman" w:hAnsi="Arial" w:cs="Arial"/>
          <w:color w:val="606160"/>
          <w:sz w:val="24"/>
          <w:szCs w:val="24"/>
          <w:lang w:eastAsia="ru-RU"/>
        </w:rPr>
        <w:t>) замещаемая им должность была включена в соответствующий перечень должностей, а сам служащий (работник) замещал указанную должность;</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временно замещаемая им должность была включена в соответствующий перечень должностей.</w:t>
      </w:r>
    </w:p>
    <w:p w:rsidR="000B130B" w:rsidRPr="000B130B" w:rsidRDefault="000B130B" w:rsidP="000B130B">
      <w:pPr>
        <w:numPr>
          <w:ilvl w:val="0"/>
          <w:numId w:val="9"/>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Определение круга лиц (членов семьи), в отношении которых необходимо представить сведения</w:t>
      </w:r>
    </w:p>
    <w:p w:rsidR="000B130B" w:rsidRPr="000B130B" w:rsidRDefault="000B130B" w:rsidP="000B130B">
      <w:pPr>
        <w:numPr>
          <w:ilvl w:val="0"/>
          <w:numId w:val="10"/>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Супруги</w:t>
      </w:r>
    </w:p>
    <w:p w:rsidR="000B130B" w:rsidRPr="000B130B" w:rsidRDefault="000B130B" w:rsidP="000B130B">
      <w:pPr>
        <w:numPr>
          <w:ilvl w:val="0"/>
          <w:numId w:val="1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принятии решения о необходимости представления сведений в отношении супруги (супруга) следует учитывать положения статьи 25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B130B" w:rsidRPr="000B130B" w:rsidRDefault="000B130B" w:rsidP="000B130B">
      <w:pPr>
        <w:numPr>
          <w:ilvl w:val="0"/>
          <w:numId w:val="1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Перечень ситуаций и рекомендуемые действия (таблица № 1)</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6060"/>
      </w:tblGrid>
      <w:tr w:rsidR="000B130B" w:rsidRPr="000B130B" w:rsidTr="000B130B">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Пример: служащий (работник) представляет сведения в 2015 году (за отчетный 2014 г.)</w:t>
            </w:r>
          </w:p>
        </w:tc>
      </w:tr>
      <w:tr w:rsidR="000B130B" w:rsidRPr="000B130B" w:rsidTr="000B130B">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Брак был расторгнут в органах записи актов гражданского состояния (далее – ЗАГС) в ноябре 2014 года</w:t>
            </w:r>
          </w:p>
        </w:tc>
        <w:tc>
          <w:tcPr>
            <w:tcW w:w="606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0B130B" w:rsidRPr="000B130B" w:rsidTr="000B130B">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Окончательное решение о расторжении брака было принято судом 12 декабря 2014 года и вступило в законную силу 12 января 2015 года.</w:t>
            </w:r>
          </w:p>
        </w:tc>
        <w:tc>
          <w:tcPr>
            <w:tcW w:w="606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0B130B" w:rsidRPr="000B130B" w:rsidTr="000B130B">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Брак был расторгнут в </w:t>
            </w:r>
            <w:proofErr w:type="spellStart"/>
            <w:r w:rsidRPr="000B130B">
              <w:rPr>
                <w:rFonts w:ascii="Arial" w:eastAsia="Times New Roman" w:hAnsi="Arial" w:cs="Arial"/>
                <w:color w:val="606160"/>
                <w:sz w:val="24"/>
                <w:szCs w:val="24"/>
                <w:lang w:eastAsia="ru-RU"/>
              </w:rPr>
              <w:t>ЗАГСе</w:t>
            </w:r>
            <w:proofErr w:type="spellEnd"/>
            <w:r w:rsidRPr="000B130B">
              <w:rPr>
                <w:rFonts w:ascii="Arial" w:eastAsia="Times New Roman" w:hAnsi="Arial" w:cs="Arial"/>
                <w:color w:val="606160"/>
                <w:sz w:val="24"/>
                <w:szCs w:val="24"/>
                <w:lang w:eastAsia="ru-RU"/>
              </w:rPr>
              <w:t xml:space="preserve"> в марте 2015 года</w:t>
            </w:r>
          </w:p>
        </w:tc>
        <w:tc>
          <w:tcPr>
            <w:tcW w:w="606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в отношении бывшей супруги представляются, поскольку по состоянию на </w:t>
            </w:r>
            <w:r w:rsidRPr="000B130B">
              <w:rPr>
                <w:rFonts w:ascii="Arial" w:eastAsia="Times New Roman" w:hAnsi="Arial" w:cs="Arial"/>
                <w:color w:val="606160"/>
                <w:sz w:val="24"/>
                <w:szCs w:val="24"/>
                <w:lang w:eastAsia="ru-RU"/>
              </w:rPr>
              <w:lastRenderedPageBreak/>
              <w:t>отчетную дату (31 декабря 2014 года) служащий (работник) состоял в браке</w:t>
            </w:r>
          </w:p>
        </w:tc>
      </w:tr>
      <w:tr w:rsidR="000B130B" w:rsidRPr="000B130B" w:rsidTr="000B130B">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lastRenderedPageBreak/>
              <w:t>Пример: гражданин в сентябре 2014 года представляет сведения в связи с подачей документов для назначении на должность. Отчетной датой является 1 августа 2014 года</w:t>
            </w:r>
          </w:p>
        </w:tc>
      </w:tr>
      <w:tr w:rsidR="000B130B" w:rsidRPr="000B130B" w:rsidTr="000B130B">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Брак был расторгнут в </w:t>
            </w:r>
            <w:proofErr w:type="spellStart"/>
            <w:r w:rsidRPr="000B130B">
              <w:rPr>
                <w:rFonts w:ascii="Arial" w:eastAsia="Times New Roman" w:hAnsi="Arial" w:cs="Arial"/>
                <w:color w:val="606160"/>
                <w:sz w:val="24"/>
                <w:szCs w:val="24"/>
                <w:lang w:eastAsia="ru-RU"/>
              </w:rPr>
              <w:t>ЗАГСе</w:t>
            </w:r>
            <w:proofErr w:type="spellEnd"/>
            <w:r w:rsidRPr="000B130B">
              <w:rPr>
                <w:rFonts w:ascii="Arial" w:eastAsia="Times New Roman" w:hAnsi="Arial" w:cs="Arial"/>
                <w:color w:val="606160"/>
                <w:sz w:val="24"/>
                <w:szCs w:val="24"/>
                <w:lang w:eastAsia="ru-RU"/>
              </w:rPr>
              <w:t xml:space="preserve"> 1 июля 2014 года</w:t>
            </w:r>
          </w:p>
        </w:tc>
        <w:tc>
          <w:tcPr>
            <w:tcW w:w="606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в отношении бывшей супруги не представляются, поскольку по состоянию на отчетную дату (1 августа 2014 года) гражданин не состоял в браке</w:t>
            </w:r>
          </w:p>
        </w:tc>
      </w:tr>
      <w:tr w:rsidR="000B130B" w:rsidRPr="000B130B" w:rsidTr="000B130B">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Брак был расторгнут в </w:t>
            </w:r>
            <w:proofErr w:type="spellStart"/>
            <w:r w:rsidRPr="000B130B">
              <w:rPr>
                <w:rFonts w:ascii="Arial" w:eastAsia="Times New Roman" w:hAnsi="Arial" w:cs="Arial"/>
                <w:color w:val="606160"/>
                <w:sz w:val="24"/>
                <w:szCs w:val="24"/>
                <w:lang w:eastAsia="ru-RU"/>
              </w:rPr>
              <w:t>ЗАГСе</w:t>
            </w:r>
            <w:proofErr w:type="spellEnd"/>
            <w:r w:rsidRPr="000B130B">
              <w:rPr>
                <w:rFonts w:ascii="Arial" w:eastAsia="Times New Roman" w:hAnsi="Arial" w:cs="Arial"/>
                <w:color w:val="606160"/>
                <w:sz w:val="24"/>
                <w:szCs w:val="24"/>
                <w:lang w:eastAsia="ru-RU"/>
              </w:rPr>
              <w:t xml:space="preserve"> 2 августа 2014 года</w:t>
            </w:r>
          </w:p>
        </w:tc>
        <w:tc>
          <w:tcPr>
            <w:tcW w:w="606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в отношении бывшей супруги представляются, поскольку по состоянию на отчетную дату (1 августа 2014 года) гражданин состоял в браке</w:t>
            </w:r>
          </w:p>
        </w:tc>
      </w:tr>
      <w:tr w:rsidR="000B130B" w:rsidRPr="000B130B" w:rsidTr="000B130B">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Окончательное решение о расторжении брака было принято судом 4 июля 2014 года и вступило в законную силу 4 августа 2014 г.</w:t>
            </w:r>
          </w:p>
        </w:tc>
        <w:tc>
          <w:tcPr>
            <w:tcW w:w="606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Несовершеннолетние дети</w:t>
      </w:r>
    </w:p>
    <w:p w:rsidR="000B130B" w:rsidRPr="000B130B" w:rsidRDefault="000B130B" w:rsidP="000B130B">
      <w:pPr>
        <w:numPr>
          <w:ilvl w:val="0"/>
          <w:numId w:val="12"/>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B130B" w:rsidRPr="000B130B" w:rsidRDefault="000B130B" w:rsidP="000B130B">
      <w:pPr>
        <w:numPr>
          <w:ilvl w:val="0"/>
          <w:numId w:val="12"/>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Перечень ситуаций и рекомендуемые действия (таблица №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3"/>
        <w:gridCol w:w="6616"/>
      </w:tblGrid>
      <w:tr w:rsidR="000B130B" w:rsidRPr="000B130B" w:rsidTr="000B130B">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Пример: служащий (работник) представляет сведения в 2015 году (за </w:t>
            </w:r>
            <w:proofErr w:type="gramStart"/>
            <w:r w:rsidRPr="000B130B">
              <w:rPr>
                <w:rFonts w:ascii="Arial" w:eastAsia="Times New Roman" w:hAnsi="Arial" w:cs="Arial"/>
                <w:color w:val="606160"/>
                <w:sz w:val="24"/>
                <w:szCs w:val="24"/>
                <w:lang w:eastAsia="ru-RU"/>
              </w:rPr>
              <w:t>отчетный  2014</w:t>
            </w:r>
            <w:proofErr w:type="gramEnd"/>
            <w:r w:rsidRPr="000B130B">
              <w:rPr>
                <w:rFonts w:ascii="Arial" w:eastAsia="Times New Roman" w:hAnsi="Arial" w:cs="Arial"/>
                <w:color w:val="606160"/>
                <w:sz w:val="24"/>
                <w:szCs w:val="24"/>
                <w:lang w:eastAsia="ru-RU"/>
              </w:rPr>
              <w:t xml:space="preserve"> г.)</w:t>
            </w:r>
          </w:p>
        </w:tc>
      </w:tr>
      <w:tr w:rsidR="000B130B" w:rsidRPr="000B130B" w:rsidTr="000B130B">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Дочери служащего (</w:t>
            </w:r>
            <w:proofErr w:type="gramStart"/>
            <w:r w:rsidRPr="000B130B">
              <w:rPr>
                <w:rFonts w:ascii="Arial" w:eastAsia="Times New Roman" w:hAnsi="Arial" w:cs="Arial"/>
                <w:color w:val="606160"/>
                <w:sz w:val="24"/>
                <w:szCs w:val="24"/>
                <w:lang w:eastAsia="ru-RU"/>
              </w:rPr>
              <w:t>работника)  21</w:t>
            </w:r>
            <w:proofErr w:type="gramEnd"/>
            <w:r w:rsidRPr="000B130B">
              <w:rPr>
                <w:rFonts w:ascii="Arial" w:eastAsia="Times New Roman" w:hAnsi="Arial" w:cs="Arial"/>
                <w:color w:val="606160"/>
                <w:sz w:val="24"/>
                <w:szCs w:val="24"/>
                <w:lang w:eastAsia="ru-RU"/>
              </w:rPr>
              <w:t> мая 2014 года исполнилось 18 лет</w:t>
            </w:r>
          </w:p>
        </w:tc>
        <w:tc>
          <w:tcPr>
            <w:tcW w:w="691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0B130B" w:rsidRPr="000B130B" w:rsidTr="000B130B">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Дочери служащего (работника) 30 декабря 2014 года исполнилось 18 лет</w:t>
            </w:r>
          </w:p>
        </w:tc>
        <w:tc>
          <w:tcPr>
            <w:tcW w:w="691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0B130B" w:rsidRPr="000B130B" w:rsidTr="000B130B">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Дочери служащего (</w:t>
            </w:r>
            <w:proofErr w:type="gramStart"/>
            <w:r w:rsidRPr="000B130B">
              <w:rPr>
                <w:rFonts w:ascii="Arial" w:eastAsia="Times New Roman" w:hAnsi="Arial" w:cs="Arial"/>
                <w:color w:val="606160"/>
                <w:sz w:val="24"/>
                <w:szCs w:val="24"/>
                <w:lang w:eastAsia="ru-RU"/>
              </w:rPr>
              <w:t>работника)  31</w:t>
            </w:r>
            <w:proofErr w:type="gramEnd"/>
            <w:r w:rsidRPr="000B130B">
              <w:rPr>
                <w:rFonts w:ascii="Arial" w:eastAsia="Times New Roman" w:hAnsi="Arial" w:cs="Arial"/>
                <w:color w:val="606160"/>
                <w:sz w:val="24"/>
                <w:szCs w:val="24"/>
                <w:lang w:eastAsia="ru-RU"/>
              </w:rPr>
              <w:t xml:space="preserve"> декабря </w:t>
            </w:r>
            <w:r w:rsidRPr="000B130B">
              <w:rPr>
                <w:rFonts w:ascii="Arial" w:eastAsia="Times New Roman" w:hAnsi="Arial" w:cs="Arial"/>
                <w:color w:val="606160"/>
                <w:sz w:val="24"/>
                <w:szCs w:val="24"/>
                <w:lang w:eastAsia="ru-RU"/>
              </w:rPr>
              <w:lastRenderedPageBreak/>
              <w:t>2014 года исполнилось 18 лет</w:t>
            </w:r>
          </w:p>
        </w:tc>
        <w:tc>
          <w:tcPr>
            <w:tcW w:w="691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lastRenderedPageBreak/>
              <w:t>сведения</w:t>
            </w:r>
            <w:proofErr w:type="gramEnd"/>
            <w:r w:rsidRPr="000B130B">
              <w:rPr>
                <w:rFonts w:ascii="Arial" w:eastAsia="Times New Roman" w:hAnsi="Arial" w:cs="Arial"/>
                <w:color w:val="606160"/>
                <w:sz w:val="24"/>
                <w:szCs w:val="24"/>
                <w:lang w:eastAsia="ru-RU"/>
              </w:rPr>
              <w:t xml:space="preserve"> в отношении дочери представляются, поскольку дочь служащего (работника) считается достигшей </w:t>
            </w:r>
            <w:r w:rsidRPr="000B130B">
              <w:rPr>
                <w:rFonts w:ascii="Arial" w:eastAsia="Times New Roman" w:hAnsi="Arial" w:cs="Arial"/>
                <w:color w:val="606160"/>
                <w:sz w:val="24"/>
                <w:szCs w:val="24"/>
                <w:lang w:eastAsia="ru-RU"/>
              </w:rPr>
              <w:lastRenderedPageBreak/>
              <w:t>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0B130B" w:rsidRPr="000B130B" w:rsidTr="000B130B">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lastRenderedPageBreak/>
              <w:t>Пример: гражданин представляет в сентябре 2014 года сведения в связи с назначением на должность. Отчетной датой является 1 августа 2014 года</w:t>
            </w:r>
          </w:p>
        </w:tc>
      </w:tr>
      <w:tr w:rsidR="000B130B" w:rsidRPr="000B130B" w:rsidTr="000B130B">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Сыну гражданина 5 мая 2014 года исполнилось 18 лет</w:t>
            </w:r>
          </w:p>
        </w:tc>
        <w:tc>
          <w:tcPr>
            <w:tcW w:w="691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0B130B" w:rsidRPr="000B130B" w:rsidTr="000B130B">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Сыну гражданина 1 августа 2014 года исполнилось 18 лет</w:t>
            </w:r>
          </w:p>
        </w:tc>
        <w:tc>
          <w:tcPr>
            <w:tcW w:w="691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 являлся несовершеннолетним</w:t>
            </w:r>
          </w:p>
        </w:tc>
      </w:tr>
      <w:tr w:rsidR="000B130B" w:rsidRPr="000B130B" w:rsidTr="000B130B">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Сыну гражданина 17 августа 2014 года исполнилось 18 лет</w:t>
            </w:r>
          </w:p>
        </w:tc>
        <w:tc>
          <w:tcPr>
            <w:tcW w:w="691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сведения</w:t>
            </w:r>
            <w:proofErr w:type="gramEnd"/>
            <w:r w:rsidRPr="000B130B">
              <w:rPr>
                <w:rFonts w:ascii="Arial" w:eastAsia="Times New Roman" w:hAnsi="Arial" w:cs="Arial"/>
                <w:color w:val="606160"/>
                <w:sz w:val="24"/>
                <w:szCs w:val="24"/>
                <w:lang w:eastAsia="ru-RU"/>
              </w:rPr>
              <w:t xml:space="preserve"> в отношении сына представляются, поскольку по состоянию на отчетную дату (1 августа 2014 года) сын гражданина является несовершеннолетним</w:t>
            </w:r>
          </w:p>
        </w:tc>
      </w:tr>
    </w:tbl>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Рекомендуемые действия при невозможности представить сведения в отношении члена семьи</w:t>
      </w:r>
    </w:p>
    <w:p w:rsidR="000B130B" w:rsidRPr="000B130B" w:rsidRDefault="000B130B" w:rsidP="000B130B">
      <w:pPr>
        <w:numPr>
          <w:ilvl w:val="0"/>
          <w:numId w:val="13"/>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p>
    <w:p w:rsidR="000B130B" w:rsidRPr="000B130B" w:rsidRDefault="000B130B" w:rsidP="000B130B">
      <w:pPr>
        <w:numPr>
          <w:ilvl w:val="0"/>
          <w:numId w:val="13"/>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Заявление подается (таблица №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7"/>
        <w:gridCol w:w="6022"/>
      </w:tblGrid>
      <w:tr w:rsidR="000B130B" w:rsidRPr="000B130B" w:rsidTr="000B130B">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В Управление Президента Российской Федерации по </w:t>
            </w:r>
            <w:r w:rsidRPr="000B130B">
              <w:rPr>
                <w:rFonts w:ascii="Arial" w:eastAsia="Times New Roman" w:hAnsi="Arial" w:cs="Arial"/>
                <w:color w:val="606160"/>
                <w:sz w:val="24"/>
                <w:szCs w:val="24"/>
                <w:lang w:eastAsia="ru-RU"/>
              </w:rPr>
              <w:lastRenderedPageBreak/>
              <w:t>вопросам противодействия коррупции</w:t>
            </w:r>
          </w:p>
        </w:tc>
        <w:tc>
          <w:tcPr>
            <w:tcW w:w="619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w:t>
            </w:r>
            <w:r w:rsidRPr="000B130B">
              <w:rPr>
                <w:rFonts w:ascii="Arial" w:eastAsia="Times New Roman" w:hAnsi="Arial" w:cs="Arial"/>
                <w:color w:val="606160"/>
                <w:sz w:val="24"/>
                <w:szCs w:val="24"/>
                <w:lang w:eastAsia="ru-RU"/>
              </w:rPr>
              <w:lastRenderedPageBreak/>
              <w:t>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0B130B" w:rsidRPr="000B130B" w:rsidTr="000B130B">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lastRenderedPageBreak/>
              <w:t>В Департамент государственной службы и кадров Правительства Российской Федерации</w:t>
            </w:r>
          </w:p>
        </w:tc>
        <w:tc>
          <w:tcPr>
            <w:tcW w:w="619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B130B" w:rsidRPr="000B130B" w:rsidTr="000B130B">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подразделение кадровой службы федерального государственного органа по профилактике коррупционных и иных правонарушений</w:t>
            </w:r>
          </w:p>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tc>
        <w:tc>
          <w:tcPr>
            <w:tcW w:w="619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tc>
      </w:tr>
      <w:tr w:rsidR="000B130B" w:rsidRPr="000B130B" w:rsidTr="000B130B">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95"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lastRenderedPageBreak/>
        <w:t> </w:t>
      </w:r>
    </w:p>
    <w:p w:rsidR="000B130B" w:rsidRPr="000B130B" w:rsidRDefault="000B130B" w:rsidP="000B130B">
      <w:pPr>
        <w:numPr>
          <w:ilvl w:val="0"/>
          <w:numId w:val="14"/>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II. Заполнение справки о доходах, расходах, об имуществе и обязательствах имущественного характера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 </w:t>
      </w:r>
    </w:p>
    <w:p w:rsidR="000B130B" w:rsidRPr="000B130B" w:rsidRDefault="000B130B" w:rsidP="000B130B">
      <w:pPr>
        <w:numPr>
          <w:ilvl w:val="0"/>
          <w:numId w:val="1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Форма справки о доходах, расходах, об имуществе и обязательствах имущественного характера утверждена Указом Президента Российской </w:t>
      </w:r>
      <w:proofErr w:type="gramStart"/>
      <w:r w:rsidRPr="000B130B">
        <w:rPr>
          <w:rFonts w:ascii="Arial" w:eastAsia="Times New Roman" w:hAnsi="Arial" w:cs="Arial"/>
          <w:color w:val="606160"/>
          <w:sz w:val="24"/>
          <w:szCs w:val="24"/>
          <w:lang w:eastAsia="ru-RU"/>
        </w:rPr>
        <w:t>Федерации  от</w:t>
      </w:r>
      <w:proofErr w:type="gramEnd"/>
      <w:r w:rsidRPr="000B130B">
        <w:rPr>
          <w:rFonts w:ascii="Arial" w:eastAsia="Times New Roman" w:hAnsi="Arial" w:cs="Arial"/>
          <w:color w:val="606160"/>
          <w:sz w:val="24"/>
          <w:szCs w:val="24"/>
          <w:lang w:eastAsia="ru-RU"/>
        </w:rPr>
        <w:t xml:space="preserve">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0B130B" w:rsidRPr="000B130B" w:rsidRDefault="000B130B" w:rsidP="000B130B">
      <w:pPr>
        <w:numPr>
          <w:ilvl w:val="0"/>
          <w:numId w:val="1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ТИТУЛЬНЫЙ ЛИСТ</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 </w:t>
      </w:r>
    </w:p>
    <w:p w:rsidR="000B130B" w:rsidRPr="000B130B" w:rsidRDefault="000B130B" w:rsidP="000B130B">
      <w:pPr>
        <w:numPr>
          <w:ilvl w:val="0"/>
          <w:numId w:val="1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заполнении титульного листа справки рекомендуется обратить внимание на следующее:</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дата рождения (год рождения) указывается в соответствии с записью в документе, удостоверяющем личность;</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место службы (работы) и занимаемая должность указывается в соответствии с приказом о назначении и служебным контрактом (трудовым договором);</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г</w:t>
      </w:r>
      <w:proofErr w:type="gramEnd"/>
      <w:r w:rsidRPr="000B130B">
        <w:rPr>
          <w:rFonts w:ascii="Arial" w:eastAsia="Times New Roman" w:hAnsi="Arial" w:cs="Arial"/>
          <w:color w:val="606160"/>
          <w:sz w:val="24"/>
          <w:szCs w:val="24"/>
          <w:lang w:eastAsia="ru-RU"/>
        </w:rPr>
        <w:t xml:space="preserve">) адрес места регистрации указывается по состоянию на дату представления справки, на основании записи в паспорте или ином документе, подтверждающем </w:t>
      </w:r>
      <w:r w:rsidRPr="000B130B">
        <w:rPr>
          <w:rFonts w:ascii="Arial" w:eastAsia="Times New Roman" w:hAnsi="Arial" w:cs="Arial"/>
          <w:color w:val="606160"/>
          <w:sz w:val="24"/>
          <w:szCs w:val="24"/>
          <w:lang w:eastAsia="ru-RU"/>
        </w:rPr>
        <w:lastRenderedPageBreak/>
        <w:t>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РАЗДЕЛ 1. СВЕДЕНИЯ О ДОХОДАХ</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 </w:t>
      </w:r>
    </w:p>
    <w:p w:rsidR="000B130B" w:rsidRPr="000B130B" w:rsidRDefault="000B130B" w:rsidP="000B130B">
      <w:pPr>
        <w:numPr>
          <w:ilvl w:val="0"/>
          <w:numId w:val="17"/>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Доход по основному месту работы</w:t>
      </w:r>
    </w:p>
    <w:p w:rsidR="000B130B" w:rsidRPr="000B130B" w:rsidRDefault="000B130B" w:rsidP="000B130B">
      <w:pPr>
        <w:numPr>
          <w:ilvl w:val="0"/>
          <w:numId w:val="18"/>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(графа 5.1 «Общая сумма дохода»).</w:t>
      </w:r>
    </w:p>
    <w:p w:rsidR="000B130B" w:rsidRPr="000B130B" w:rsidRDefault="000B130B" w:rsidP="000B130B">
      <w:pPr>
        <w:numPr>
          <w:ilvl w:val="0"/>
          <w:numId w:val="18"/>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Доход от педагогической и научной деятельности</w:t>
      </w:r>
    </w:p>
    <w:p w:rsidR="000B130B" w:rsidRPr="000B130B" w:rsidRDefault="000B130B" w:rsidP="000B130B">
      <w:pPr>
        <w:numPr>
          <w:ilvl w:val="0"/>
          <w:numId w:val="19"/>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0B130B" w:rsidRPr="000B130B" w:rsidRDefault="000B130B" w:rsidP="000B130B">
      <w:pPr>
        <w:numPr>
          <w:ilvl w:val="0"/>
          <w:numId w:val="19"/>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Доход от иной творческой деятельности</w:t>
      </w:r>
    </w:p>
    <w:p w:rsidR="000B130B" w:rsidRPr="000B130B" w:rsidRDefault="000B130B" w:rsidP="000B130B">
      <w:pPr>
        <w:numPr>
          <w:ilvl w:val="0"/>
          <w:numId w:val="20"/>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lastRenderedPageBreak/>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w:t>
      </w:r>
      <w:proofErr w:type="gramStart"/>
      <w:r w:rsidRPr="000B130B">
        <w:rPr>
          <w:rFonts w:ascii="Arial" w:eastAsia="Times New Roman" w:hAnsi="Arial" w:cs="Arial"/>
          <w:color w:val="606160"/>
          <w:sz w:val="24"/>
          <w:szCs w:val="24"/>
          <w:lang w:eastAsia="ru-RU"/>
        </w:rPr>
        <w:t>произведений,  гонорары</w:t>
      </w:r>
      <w:proofErr w:type="gramEnd"/>
      <w:r w:rsidRPr="000B130B">
        <w:rPr>
          <w:rFonts w:ascii="Arial" w:eastAsia="Times New Roman" w:hAnsi="Arial" w:cs="Arial"/>
          <w:color w:val="606160"/>
          <w:sz w:val="24"/>
          <w:szCs w:val="24"/>
          <w:lang w:eastAsia="ru-RU"/>
        </w:rPr>
        <w:t xml:space="preserve"> за участие в съемках и т.д.</w:t>
      </w:r>
    </w:p>
    <w:p w:rsidR="000B130B" w:rsidRPr="000B130B" w:rsidRDefault="000B130B" w:rsidP="000B130B">
      <w:pPr>
        <w:numPr>
          <w:ilvl w:val="0"/>
          <w:numId w:val="20"/>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Доход от вкладов в банках и иных кредитных организациях</w:t>
      </w:r>
    </w:p>
    <w:p w:rsidR="000B130B" w:rsidRPr="000B130B" w:rsidRDefault="000B130B" w:rsidP="000B130B">
      <w:pPr>
        <w:numPr>
          <w:ilvl w:val="0"/>
          <w:numId w:val="2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B130B" w:rsidRPr="000B130B" w:rsidRDefault="000B130B" w:rsidP="000B130B">
      <w:pPr>
        <w:numPr>
          <w:ilvl w:val="0"/>
          <w:numId w:val="2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Доход от вкладов, закрытых в отчетном периоде, также подлежит указанию.</w:t>
      </w:r>
    </w:p>
    <w:p w:rsidR="000B130B" w:rsidRPr="000B130B" w:rsidRDefault="000B130B" w:rsidP="000B130B">
      <w:pPr>
        <w:numPr>
          <w:ilvl w:val="0"/>
          <w:numId w:val="2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0B130B" w:rsidRPr="000B130B" w:rsidRDefault="000B130B" w:rsidP="000B130B">
      <w:pPr>
        <w:numPr>
          <w:ilvl w:val="0"/>
          <w:numId w:val="2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5" w:history="1">
        <w:r w:rsidRPr="000B130B">
          <w:rPr>
            <w:rFonts w:ascii="Arial" w:eastAsia="Times New Roman" w:hAnsi="Arial" w:cs="Arial"/>
            <w:color w:val="4C6691"/>
            <w:sz w:val="24"/>
            <w:szCs w:val="24"/>
            <w:u w:val="single"/>
            <w:lang w:eastAsia="ru-RU"/>
          </w:rPr>
          <w:t>http://www.cbr.ru/currency_base/daily.aspx.</w:t>
        </w:r>
      </w:hyperlink>
    </w:p>
    <w:p w:rsidR="000B130B" w:rsidRPr="000B130B" w:rsidRDefault="000B130B" w:rsidP="000B130B">
      <w:pPr>
        <w:numPr>
          <w:ilvl w:val="0"/>
          <w:numId w:val="2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Не рекомендуется проводить какие-либо самостоятельные расчеты, поскольку вероятно возникновение различного рода ошибок.</w:t>
      </w:r>
    </w:p>
    <w:p w:rsidR="000B130B" w:rsidRPr="000B130B" w:rsidRDefault="000B130B" w:rsidP="000B130B">
      <w:pPr>
        <w:numPr>
          <w:ilvl w:val="0"/>
          <w:numId w:val="2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Доход от ценных бумаг и долей участия в коммерческих организациях</w:t>
      </w:r>
    </w:p>
    <w:p w:rsidR="000B130B" w:rsidRPr="000B130B" w:rsidRDefault="000B130B" w:rsidP="000B130B">
      <w:pPr>
        <w:numPr>
          <w:ilvl w:val="0"/>
          <w:numId w:val="22"/>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данной строке указывается сумма доходов от ценных бумаг и долей участия в коммерческих организациях, включающая: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xml:space="preserve">)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w:t>
      </w:r>
      <w:r w:rsidRPr="000B130B">
        <w:rPr>
          <w:rFonts w:ascii="Arial" w:eastAsia="Times New Roman" w:hAnsi="Arial" w:cs="Arial"/>
          <w:color w:val="606160"/>
          <w:sz w:val="24"/>
          <w:szCs w:val="24"/>
          <w:lang w:eastAsia="ru-RU"/>
        </w:rPr>
        <w:lastRenderedPageBreak/>
        <w:t xml:space="preserve">бумаги указываются в разделе 5 справки «Сведения о ценных бумагах» (в </w:t>
      </w:r>
      <w:proofErr w:type="gramStart"/>
      <w:r w:rsidRPr="000B130B">
        <w:rPr>
          <w:rFonts w:ascii="Arial" w:eastAsia="Times New Roman" w:hAnsi="Arial" w:cs="Arial"/>
          <w:color w:val="606160"/>
          <w:sz w:val="24"/>
          <w:szCs w:val="24"/>
          <w:lang w:eastAsia="ru-RU"/>
        </w:rPr>
        <w:t>случае  если</w:t>
      </w:r>
      <w:proofErr w:type="gramEnd"/>
      <w:r w:rsidRPr="000B130B">
        <w:rPr>
          <w:rFonts w:ascii="Arial" w:eastAsia="Times New Roman" w:hAnsi="Arial" w:cs="Arial"/>
          <w:color w:val="606160"/>
          <w:sz w:val="24"/>
          <w:szCs w:val="24"/>
          <w:lang w:eastAsia="ru-RU"/>
        </w:rPr>
        <w:t xml:space="preserve"> по состоянию на отчетную дату служащий (работник), член его семьи обладал такими бумагами).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Иные доходы</w:t>
      </w:r>
    </w:p>
    <w:p w:rsidR="000B130B" w:rsidRPr="000B130B" w:rsidRDefault="000B130B" w:rsidP="000B130B">
      <w:pPr>
        <w:numPr>
          <w:ilvl w:val="0"/>
          <w:numId w:val="23"/>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данной строке указываются доходы, которые не были отражены выше в строках 1-5. Так, например, в строке иные доходы могут быть указаны:</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пенсия;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2-НДФЛ, выдаваемую по месту службы (работы);</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г</w:t>
      </w:r>
      <w:proofErr w:type="gramEnd"/>
      <w:r w:rsidRPr="000B130B">
        <w:rPr>
          <w:rFonts w:ascii="Arial" w:eastAsia="Times New Roman" w:hAnsi="Arial" w:cs="Arial"/>
          <w:color w:val="606160"/>
          <w:sz w:val="24"/>
          <w:szCs w:val="24"/>
          <w:lang w:eastAsia="ru-RU"/>
        </w:rPr>
        <w:t>)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д</w:t>
      </w:r>
      <w:proofErr w:type="gramEnd"/>
      <w:r w:rsidRPr="000B130B">
        <w:rPr>
          <w:rFonts w:ascii="Arial" w:eastAsia="Times New Roman" w:hAnsi="Arial" w:cs="Arial"/>
          <w:color w:val="606160"/>
          <w:sz w:val="24"/>
          <w:szCs w:val="24"/>
          <w:lang w:eastAsia="ru-RU"/>
        </w:rPr>
        <w:t>) алименты;</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е</w:t>
      </w:r>
      <w:proofErr w:type="gramEnd"/>
      <w:r w:rsidRPr="000B130B">
        <w:rPr>
          <w:rFonts w:ascii="Arial" w:eastAsia="Times New Roman" w:hAnsi="Arial" w:cs="Arial"/>
          <w:color w:val="606160"/>
          <w:sz w:val="24"/>
          <w:szCs w:val="24"/>
          <w:lang w:eastAsia="ru-RU"/>
        </w:rPr>
        <w:t>) стипендия;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ж</w:t>
      </w:r>
      <w:proofErr w:type="gramEnd"/>
      <w:r w:rsidRPr="000B130B">
        <w:rPr>
          <w:rFonts w:ascii="Arial" w:eastAsia="Times New Roman" w:hAnsi="Arial" w:cs="Arial"/>
          <w:color w:val="606160"/>
          <w:sz w:val="24"/>
          <w:szCs w:val="24"/>
          <w:lang w:eastAsia="ru-RU"/>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0B130B">
        <w:rPr>
          <w:rFonts w:ascii="Arial" w:eastAsia="Times New Roman" w:hAnsi="Arial" w:cs="Arial"/>
          <w:color w:val="606160"/>
          <w:sz w:val="24"/>
          <w:szCs w:val="24"/>
          <w:lang w:eastAsia="ru-RU"/>
        </w:rPr>
        <w:t>накопительно</w:t>
      </w:r>
      <w:proofErr w:type="spellEnd"/>
      <w:r w:rsidRPr="000B130B">
        <w:rPr>
          <w:rFonts w:ascii="Arial" w:eastAsia="Times New Roman" w:hAnsi="Arial" w:cs="Arial"/>
          <w:color w:val="606160"/>
          <w:sz w:val="24"/>
          <w:szCs w:val="24"/>
          <w:lang w:eastAsia="ru-RU"/>
        </w:rPr>
        <w:t>-ипотечной системы жилищного обеспечения военнослужащих;</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з</w:t>
      </w:r>
      <w:proofErr w:type="gramEnd"/>
      <w:r w:rsidRPr="000B130B">
        <w:rPr>
          <w:rFonts w:ascii="Arial" w:eastAsia="Times New Roman" w:hAnsi="Arial" w:cs="Arial"/>
          <w:color w:val="606160"/>
          <w:sz w:val="24"/>
          <w:szCs w:val="24"/>
          <w:lang w:eastAsia="ru-RU"/>
        </w:rPr>
        <w:t>)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и</w:t>
      </w:r>
      <w:proofErr w:type="gramEnd"/>
      <w:r w:rsidRPr="000B130B">
        <w:rPr>
          <w:rFonts w:ascii="Arial" w:eastAsia="Times New Roman" w:hAnsi="Arial" w:cs="Arial"/>
          <w:color w:val="606160"/>
          <w:sz w:val="24"/>
          <w:szCs w:val="24"/>
          <w:lang w:eastAsia="ru-RU"/>
        </w:rPr>
        <w:t>) доходы от реализации недвижимого и иного имущества. 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к</w:t>
      </w:r>
      <w:proofErr w:type="gramEnd"/>
      <w:r w:rsidRPr="000B130B">
        <w:rPr>
          <w:rFonts w:ascii="Arial" w:eastAsia="Times New Roman" w:hAnsi="Arial" w:cs="Arial"/>
          <w:color w:val="606160"/>
          <w:sz w:val="24"/>
          <w:szCs w:val="24"/>
          <w:lang w:eastAsia="ru-RU"/>
        </w:rPr>
        <w:t>) доходы, полученные от использования транспортных средств;</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л</w:t>
      </w:r>
      <w:proofErr w:type="gramEnd"/>
      <w:r w:rsidRPr="000B130B">
        <w:rPr>
          <w:rFonts w:ascii="Arial" w:eastAsia="Times New Roman" w:hAnsi="Arial" w:cs="Arial"/>
          <w:color w:val="606160"/>
          <w:sz w:val="24"/>
          <w:szCs w:val="24"/>
          <w:lang w:eastAsia="ru-RU"/>
        </w:rPr>
        <w:t>)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lastRenderedPageBreak/>
        <w:t>м</w:t>
      </w:r>
      <w:proofErr w:type="gramEnd"/>
      <w:r w:rsidRPr="000B130B">
        <w:rPr>
          <w:rFonts w:ascii="Arial" w:eastAsia="Times New Roman" w:hAnsi="Arial" w:cs="Arial"/>
          <w:color w:val="606160"/>
          <w:sz w:val="24"/>
          <w:szCs w:val="24"/>
          <w:lang w:eastAsia="ru-RU"/>
        </w:rPr>
        <w:t>)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н</w:t>
      </w:r>
      <w:proofErr w:type="gramEnd"/>
      <w:r w:rsidRPr="000B130B">
        <w:rPr>
          <w:rFonts w:ascii="Arial" w:eastAsia="Times New Roman" w:hAnsi="Arial" w:cs="Arial"/>
          <w:color w:val="606160"/>
          <w:sz w:val="24"/>
          <w:szCs w:val="24"/>
          <w:lang w:eastAsia="ru-RU"/>
        </w:rPr>
        <w:t>) вознаграждения по гражданско-правовым договорам  (если только данный доход уже не указан в пункте 2 настоящего раздела справки). При этом рекомендуется указывать наименование и юридический адрес организации, от которой был получен доход;</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о</w:t>
      </w:r>
      <w:proofErr w:type="gramEnd"/>
      <w:r w:rsidRPr="000B130B">
        <w:rPr>
          <w:rFonts w:ascii="Arial" w:eastAsia="Times New Roman" w:hAnsi="Arial" w:cs="Arial"/>
          <w:color w:val="606160"/>
          <w:sz w:val="24"/>
          <w:szCs w:val="24"/>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п</w:t>
      </w:r>
      <w:proofErr w:type="gramEnd"/>
      <w:r w:rsidRPr="000B130B">
        <w:rPr>
          <w:rFonts w:ascii="Arial" w:eastAsia="Times New Roman" w:hAnsi="Arial" w:cs="Arial"/>
          <w:color w:val="606160"/>
          <w:sz w:val="24"/>
          <w:szCs w:val="24"/>
          <w:lang w:eastAsia="ru-RU"/>
        </w:rPr>
        <w:t>) денежные средства, полученные в порядке дарения или наследования;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р</w:t>
      </w:r>
      <w:proofErr w:type="gramEnd"/>
      <w:r w:rsidRPr="000B130B">
        <w:rPr>
          <w:rFonts w:ascii="Arial" w:eastAsia="Times New Roman" w:hAnsi="Arial" w:cs="Arial"/>
          <w:color w:val="606160"/>
          <w:sz w:val="24"/>
          <w:szCs w:val="24"/>
          <w:lang w:eastAsia="ru-RU"/>
        </w:rPr>
        <w:t>) возмещение вреда, причиненного увечьем или иным повреждением здоровья;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w:t>
      </w:r>
      <w:proofErr w:type="gramEnd"/>
      <w:r w:rsidRPr="000B130B">
        <w:rPr>
          <w:rFonts w:ascii="Arial" w:eastAsia="Times New Roman" w:hAnsi="Arial" w:cs="Arial"/>
          <w:color w:val="606160"/>
          <w:sz w:val="24"/>
          <w:szCs w:val="24"/>
          <w:lang w:eastAsia="ru-RU"/>
        </w:rPr>
        <w:t>) возмещение расходов на повышение профессионального уровня;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т</w:t>
      </w:r>
      <w:proofErr w:type="gramEnd"/>
      <w:r w:rsidRPr="000B130B">
        <w:rPr>
          <w:rFonts w:ascii="Arial" w:eastAsia="Times New Roman" w:hAnsi="Arial" w:cs="Arial"/>
          <w:color w:val="606160"/>
          <w:sz w:val="24"/>
          <w:szCs w:val="24"/>
          <w:lang w:eastAsia="ru-RU"/>
        </w:rPr>
        <w:t>) выплаты, связанные с гибелью (смертью), выплаченные наследникам;</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у</w:t>
      </w:r>
      <w:proofErr w:type="gramEnd"/>
      <w:r w:rsidRPr="000B130B">
        <w:rPr>
          <w:rFonts w:ascii="Arial" w:eastAsia="Times New Roman" w:hAnsi="Arial" w:cs="Arial"/>
          <w:color w:val="606160"/>
          <w:sz w:val="24"/>
          <w:szCs w:val="24"/>
          <w:lang w:eastAsia="ru-RU"/>
        </w:rPr>
        <w:t>) страховые выплаты при наступлении страхового случая;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ф</w:t>
      </w:r>
      <w:proofErr w:type="gramEnd"/>
      <w:r w:rsidRPr="000B130B">
        <w:rPr>
          <w:rFonts w:ascii="Arial" w:eastAsia="Times New Roman" w:hAnsi="Arial" w:cs="Arial"/>
          <w:color w:val="606160"/>
          <w:sz w:val="24"/>
          <w:szCs w:val="24"/>
          <w:lang w:eastAsia="ru-RU"/>
        </w:rPr>
        <w:t>)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по месту службы (работы);</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х</w:t>
      </w:r>
      <w:proofErr w:type="gramEnd"/>
      <w:r w:rsidRPr="000B130B">
        <w:rPr>
          <w:rFonts w:ascii="Arial" w:eastAsia="Times New Roman" w:hAnsi="Arial" w:cs="Arial"/>
          <w:color w:val="606160"/>
          <w:sz w:val="24"/>
          <w:szCs w:val="24"/>
          <w:lang w:eastAsia="ru-RU"/>
        </w:rPr>
        <w:t>) вознаграждения донорам за сданную кровь, ее компоненты (и иную помощь) при условии возмездной сдачи;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ц</w:t>
      </w:r>
      <w:proofErr w:type="gramEnd"/>
      <w:r w:rsidRPr="000B130B">
        <w:rPr>
          <w:rFonts w:ascii="Arial" w:eastAsia="Times New Roman" w:hAnsi="Arial" w:cs="Arial"/>
          <w:color w:val="606160"/>
          <w:sz w:val="24"/>
          <w:szCs w:val="24"/>
          <w:lang w:eastAsia="ru-RU"/>
        </w:rPr>
        <w:t>)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ч</w:t>
      </w:r>
      <w:proofErr w:type="gramEnd"/>
      <w:r w:rsidRPr="000B130B">
        <w:rPr>
          <w:rFonts w:ascii="Arial" w:eastAsia="Times New Roman" w:hAnsi="Arial" w:cs="Arial"/>
          <w:color w:val="606160"/>
          <w:sz w:val="24"/>
          <w:szCs w:val="24"/>
          <w:lang w:eastAsia="ru-RU"/>
        </w:rPr>
        <w:t>)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ш</w:t>
      </w:r>
      <w:proofErr w:type="gramEnd"/>
      <w:r w:rsidRPr="000B130B">
        <w:rPr>
          <w:rFonts w:ascii="Arial" w:eastAsia="Times New Roman" w:hAnsi="Arial" w:cs="Arial"/>
          <w:color w:val="606160"/>
          <w:sz w:val="24"/>
          <w:szCs w:val="24"/>
          <w:lang w:eastAsia="ru-RU"/>
        </w:rPr>
        <w:t>) выигрыши в лотереях, тотализаторах, конкурсах и иных играх.</w:t>
      </w:r>
    </w:p>
    <w:p w:rsidR="000B130B" w:rsidRPr="000B130B" w:rsidRDefault="000B130B" w:rsidP="000B130B">
      <w:pPr>
        <w:numPr>
          <w:ilvl w:val="0"/>
          <w:numId w:val="24"/>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Формой справки не предусмотрено указание товаров, услуг, полученных в натуральной форме.</w:t>
      </w:r>
    </w:p>
    <w:p w:rsidR="000B130B" w:rsidRPr="000B130B" w:rsidRDefault="000B130B" w:rsidP="000B130B">
      <w:pPr>
        <w:numPr>
          <w:ilvl w:val="0"/>
          <w:numId w:val="24"/>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 учетом целей антикоррупционного законодательства в строке 6 </w:t>
      </w:r>
      <w:r w:rsidRPr="000B130B">
        <w:rPr>
          <w:rFonts w:ascii="Arial" w:eastAsia="Times New Roman" w:hAnsi="Arial" w:cs="Arial"/>
          <w:b/>
          <w:bCs/>
          <w:color w:val="606160"/>
          <w:sz w:val="24"/>
          <w:szCs w:val="24"/>
          <w:lang w:eastAsia="ru-RU"/>
        </w:rPr>
        <w:t>«Иные доходы» не указываются </w:t>
      </w:r>
      <w:r w:rsidRPr="000B130B">
        <w:rPr>
          <w:rFonts w:ascii="Arial" w:eastAsia="Times New Roman" w:hAnsi="Arial" w:cs="Arial"/>
          <w:color w:val="606160"/>
          <w:sz w:val="24"/>
          <w:szCs w:val="24"/>
          <w:lang w:eastAsia="ru-RU"/>
        </w:rPr>
        <w:t>сведения о денежных средствах, касающихся возмещения расходов, связанных:</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со служебными командировками;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lastRenderedPageBreak/>
        <w:t>б</w:t>
      </w:r>
      <w:proofErr w:type="gramEnd"/>
      <w:r w:rsidRPr="000B130B">
        <w:rPr>
          <w:rFonts w:ascii="Arial" w:eastAsia="Times New Roman" w:hAnsi="Arial" w:cs="Arial"/>
          <w:color w:val="606160"/>
          <w:sz w:val="24"/>
          <w:szCs w:val="24"/>
          <w:lang w:eastAsia="ru-RU"/>
        </w:rPr>
        <w:t>)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с оплатой стоимости и (или) выдачи полагающегося натурального довольствия, а также выплаты денежных средств взамен этого довольствия;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г</w:t>
      </w:r>
      <w:proofErr w:type="gramEnd"/>
      <w:r w:rsidRPr="000B130B">
        <w:rPr>
          <w:rFonts w:ascii="Arial" w:eastAsia="Times New Roman" w:hAnsi="Arial" w:cs="Arial"/>
          <w:color w:val="606160"/>
          <w:sz w:val="24"/>
          <w:szCs w:val="24"/>
          <w:lang w:eastAsia="ru-RU"/>
        </w:rPr>
        <w:t>) с приобретением проездных документов для исполнения служебных (должностных) обязанностей.</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Также не указываются сведения о денежных средствах, полученных:</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д</w:t>
      </w:r>
      <w:proofErr w:type="gramEnd"/>
      <w:r w:rsidRPr="000B130B">
        <w:rPr>
          <w:rFonts w:ascii="Arial" w:eastAsia="Times New Roman" w:hAnsi="Arial" w:cs="Arial"/>
          <w:color w:val="606160"/>
          <w:sz w:val="24"/>
          <w:szCs w:val="24"/>
          <w:lang w:eastAsia="ru-RU"/>
        </w:rPr>
        <w:t>) в виде социального, имущественного налогового вычета;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е</w:t>
      </w:r>
      <w:proofErr w:type="gramEnd"/>
      <w:r w:rsidRPr="000B130B">
        <w:rPr>
          <w:rFonts w:ascii="Arial" w:eastAsia="Times New Roman" w:hAnsi="Arial" w:cs="Arial"/>
          <w:color w:val="606160"/>
          <w:sz w:val="24"/>
          <w:szCs w:val="24"/>
          <w:lang w:eastAsia="ru-RU"/>
        </w:rPr>
        <w:t xml:space="preserve">) от участия в программе </w:t>
      </w:r>
      <w:proofErr w:type="spellStart"/>
      <w:r w:rsidRPr="000B130B">
        <w:rPr>
          <w:rFonts w:ascii="Arial" w:eastAsia="Times New Roman" w:hAnsi="Arial" w:cs="Arial"/>
          <w:color w:val="606160"/>
          <w:sz w:val="24"/>
          <w:szCs w:val="24"/>
          <w:lang w:eastAsia="ru-RU"/>
        </w:rPr>
        <w:t>софинансирования</w:t>
      </w:r>
      <w:proofErr w:type="spellEnd"/>
      <w:r w:rsidRPr="000B130B">
        <w:rPr>
          <w:rFonts w:ascii="Arial" w:eastAsia="Times New Roman" w:hAnsi="Arial" w:cs="Arial"/>
          <w:color w:val="606160"/>
          <w:sz w:val="24"/>
          <w:szCs w:val="24"/>
          <w:lang w:eastAsia="ru-RU"/>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Pr="000B130B">
        <w:rPr>
          <w:rFonts w:ascii="Arial" w:eastAsia="Times New Roman" w:hAnsi="Arial" w:cs="Arial"/>
          <w:color w:val="606160"/>
          <w:sz w:val="24"/>
          <w:szCs w:val="24"/>
          <w:lang w:eastAsia="ru-RU"/>
        </w:rPr>
        <w:t>софинансирования</w:t>
      </w:r>
      <w:proofErr w:type="spellEnd"/>
      <w:r w:rsidRPr="000B130B">
        <w:rPr>
          <w:rFonts w:ascii="Arial" w:eastAsia="Times New Roman" w:hAnsi="Arial" w:cs="Arial"/>
          <w:color w:val="606160"/>
          <w:sz w:val="24"/>
          <w:szCs w:val="24"/>
          <w:lang w:eastAsia="ru-RU"/>
        </w:rPr>
        <w:t xml:space="preserve"> пенсии);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ж</w:t>
      </w:r>
      <w:proofErr w:type="gramEnd"/>
      <w:r w:rsidRPr="000B130B">
        <w:rPr>
          <w:rFonts w:ascii="Arial" w:eastAsia="Times New Roman" w:hAnsi="Arial" w:cs="Arial"/>
          <w:color w:val="606160"/>
          <w:sz w:val="24"/>
          <w:szCs w:val="24"/>
          <w:lang w:eastAsia="ru-RU"/>
        </w:rPr>
        <w:t>) от продажи различного вида сертификатов (подарочных карт);</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з</w:t>
      </w:r>
      <w:proofErr w:type="gramEnd"/>
      <w:r w:rsidRPr="000B130B">
        <w:rPr>
          <w:rFonts w:ascii="Arial" w:eastAsia="Times New Roman" w:hAnsi="Arial" w:cs="Arial"/>
          <w:color w:val="606160"/>
          <w:sz w:val="24"/>
          <w:szCs w:val="24"/>
          <w:lang w:eastAsia="ru-RU"/>
        </w:rPr>
        <w:t>) в качестве бонусных баллов («</w:t>
      </w:r>
      <w:proofErr w:type="spellStart"/>
      <w:r w:rsidRPr="000B130B">
        <w:rPr>
          <w:rFonts w:ascii="Arial" w:eastAsia="Times New Roman" w:hAnsi="Arial" w:cs="Arial"/>
          <w:color w:val="606160"/>
          <w:sz w:val="24"/>
          <w:szCs w:val="24"/>
          <w:lang w:eastAsia="ru-RU"/>
        </w:rPr>
        <w:t>кэшбэк</w:t>
      </w:r>
      <w:proofErr w:type="spellEnd"/>
      <w:r w:rsidRPr="000B130B">
        <w:rPr>
          <w:rFonts w:ascii="Arial" w:eastAsia="Times New Roman" w:hAnsi="Arial" w:cs="Arial"/>
          <w:color w:val="606160"/>
          <w:sz w:val="24"/>
          <w:szCs w:val="24"/>
          <w:lang w:eastAsia="ru-RU"/>
        </w:rPr>
        <w:t xml:space="preserve"> сервис»), бонусов на накопительных дисконтных картах, начисленных банками и иными организациями за пользование их услугами.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РАЗДЕЛ 2. СВЕДЕНИЯ О РАСХОДАХ</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 </w:t>
      </w:r>
    </w:p>
    <w:p w:rsidR="000B130B" w:rsidRPr="000B130B" w:rsidRDefault="000B130B" w:rsidP="000B130B">
      <w:pPr>
        <w:numPr>
          <w:ilvl w:val="0"/>
          <w:numId w:val="2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Данный раздел справки </w:t>
      </w:r>
      <w:r w:rsidRPr="000B130B">
        <w:rPr>
          <w:rFonts w:ascii="Arial" w:eastAsia="Times New Roman" w:hAnsi="Arial" w:cs="Arial"/>
          <w:b/>
          <w:bCs/>
          <w:color w:val="606160"/>
          <w:sz w:val="24"/>
          <w:szCs w:val="24"/>
          <w:lang w:eastAsia="ru-RU"/>
        </w:rPr>
        <w:t>заполняется только</w:t>
      </w:r>
      <w:r w:rsidRPr="000B130B">
        <w:rPr>
          <w:rFonts w:ascii="Arial" w:eastAsia="Times New Roman" w:hAnsi="Arial" w:cs="Arial"/>
          <w:color w:val="606160"/>
          <w:sz w:val="24"/>
          <w:szCs w:val="24"/>
          <w:lang w:eastAsia="ru-RU"/>
        </w:rPr>
        <w:t>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0B130B" w:rsidRPr="000B130B" w:rsidRDefault="000B130B" w:rsidP="000B130B">
      <w:pPr>
        <w:numPr>
          <w:ilvl w:val="0"/>
          <w:numId w:val="2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0B130B" w:rsidRPr="000B130B" w:rsidRDefault="000B130B" w:rsidP="000B130B">
      <w:pPr>
        <w:numPr>
          <w:ilvl w:val="0"/>
          <w:numId w:val="2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В случае,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w:t>
      </w:r>
      <w:r w:rsidRPr="000B130B">
        <w:rPr>
          <w:rFonts w:ascii="Arial" w:eastAsia="Times New Roman" w:hAnsi="Arial" w:cs="Arial"/>
          <w:color w:val="606160"/>
          <w:sz w:val="24"/>
          <w:szCs w:val="24"/>
          <w:lang w:eastAsia="ru-RU"/>
        </w:rPr>
        <w:lastRenderedPageBreak/>
        <w:t>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0B130B" w:rsidRPr="000B130B" w:rsidRDefault="000B130B" w:rsidP="000B130B">
      <w:pPr>
        <w:numPr>
          <w:ilvl w:val="0"/>
          <w:numId w:val="2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B130B">
        <w:rPr>
          <w:rFonts w:ascii="Arial" w:eastAsia="Times New Roman" w:hAnsi="Arial" w:cs="Arial"/>
          <w:color w:val="606160"/>
          <w:sz w:val="24"/>
          <w:szCs w:val="24"/>
          <w:lang w:eastAsia="ru-RU"/>
        </w:rPr>
        <w:t>накопительно</w:t>
      </w:r>
      <w:proofErr w:type="spellEnd"/>
      <w:r w:rsidRPr="000B130B">
        <w:rPr>
          <w:rFonts w:ascii="Arial" w:eastAsia="Times New Roman" w:hAnsi="Arial" w:cs="Arial"/>
          <w:color w:val="606160"/>
          <w:sz w:val="24"/>
          <w:szCs w:val="24"/>
          <w:lang w:eastAsia="ru-RU"/>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B130B" w:rsidRPr="000B130B" w:rsidRDefault="000B130B" w:rsidP="000B130B">
      <w:pPr>
        <w:numPr>
          <w:ilvl w:val="0"/>
          <w:numId w:val="2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Данный раздел </w:t>
      </w:r>
      <w:r w:rsidRPr="000B130B">
        <w:rPr>
          <w:rFonts w:ascii="Arial" w:eastAsia="Times New Roman" w:hAnsi="Arial" w:cs="Arial"/>
          <w:b/>
          <w:bCs/>
          <w:color w:val="606160"/>
          <w:sz w:val="24"/>
          <w:szCs w:val="24"/>
          <w:lang w:eastAsia="ru-RU"/>
        </w:rPr>
        <w:t>не заполняется</w:t>
      </w:r>
      <w:r w:rsidRPr="000B130B">
        <w:rPr>
          <w:rFonts w:ascii="Arial" w:eastAsia="Times New Roman" w:hAnsi="Arial" w:cs="Arial"/>
          <w:color w:val="606160"/>
          <w:sz w:val="24"/>
          <w:szCs w:val="24"/>
          <w:lang w:eastAsia="ru-RU"/>
        </w:rPr>
        <w:t> в следующих случаях:</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гражданин представляет сведения в связи с назначением на должность;</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0B130B" w:rsidRPr="000B130B" w:rsidRDefault="000B130B" w:rsidP="000B130B">
      <w:pPr>
        <w:numPr>
          <w:ilvl w:val="0"/>
          <w:numId w:val="2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заполнении графы «</w:t>
      </w:r>
      <w:r w:rsidRPr="000B130B">
        <w:rPr>
          <w:rFonts w:ascii="Arial" w:eastAsia="Times New Roman" w:hAnsi="Arial" w:cs="Arial"/>
          <w:b/>
          <w:bCs/>
          <w:color w:val="606160"/>
          <w:sz w:val="24"/>
          <w:szCs w:val="24"/>
          <w:lang w:eastAsia="ru-RU"/>
        </w:rPr>
        <w:t>Вид приобретенного имущества</w:t>
      </w:r>
      <w:r w:rsidRPr="000B130B">
        <w:rPr>
          <w:rFonts w:ascii="Arial" w:eastAsia="Times New Roman" w:hAnsi="Arial" w:cs="Arial"/>
          <w:color w:val="606160"/>
          <w:sz w:val="24"/>
          <w:szCs w:val="24"/>
          <w:lang w:eastAsia="ru-RU"/>
        </w:rPr>
        <w:t>»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B130B" w:rsidRPr="000B130B" w:rsidRDefault="000B130B" w:rsidP="000B130B">
      <w:pPr>
        <w:numPr>
          <w:ilvl w:val="0"/>
          <w:numId w:val="2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заполнении графы «</w:t>
      </w:r>
      <w:r w:rsidRPr="000B130B">
        <w:rPr>
          <w:rFonts w:ascii="Arial" w:eastAsia="Times New Roman" w:hAnsi="Arial" w:cs="Arial"/>
          <w:b/>
          <w:bCs/>
          <w:color w:val="606160"/>
          <w:sz w:val="24"/>
          <w:szCs w:val="24"/>
          <w:lang w:eastAsia="ru-RU"/>
        </w:rPr>
        <w:t>Источник получения средств, за счет которых приобретено имущество</w:t>
      </w:r>
      <w:r w:rsidRPr="000B130B">
        <w:rPr>
          <w:rFonts w:ascii="Arial" w:eastAsia="Times New Roman" w:hAnsi="Arial" w:cs="Arial"/>
          <w:color w:val="606160"/>
          <w:sz w:val="24"/>
          <w:szCs w:val="24"/>
          <w:lang w:eastAsia="ru-RU"/>
        </w:rPr>
        <w:t>»</w:t>
      </w:r>
      <w:r w:rsidRPr="000B130B">
        <w:rPr>
          <w:rFonts w:ascii="Arial" w:eastAsia="Times New Roman" w:hAnsi="Arial" w:cs="Arial"/>
          <w:b/>
          <w:bCs/>
          <w:i/>
          <w:iCs/>
          <w:color w:val="606160"/>
          <w:sz w:val="24"/>
          <w:szCs w:val="24"/>
          <w:lang w:eastAsia="ru-RU"/>
        </w:rPr>
        <w:t> </w:t>
      </w:r>
      <w:r w:rsidRPr="000B130B">
        <w:rPr>
          <w:rFonts w:ascii="Arial" w:eastAsia="Times New Roman" w:hAnsi="Arial" w:cs="Arial"/>
          <w:color w:val="606160"/>
          <w:sz w:val="24"/>
          <w:szCs w:val="24"/>
          <w:lang w:eastAsia="ru-RU"/>
        </w:rPr>
        <w:t>рекомендуется учитывать, что источников получения средств, за счет которых приобретено имущество, может быть несколько, например:</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доход по основному месту работы служащего (работника), его супруги (супруга);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доход от иной разрешенной законом деятельности;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доход от вкладов в банках и иных кредитных организациях;</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г</w:t>
      </w:r>
      <w:proofErr w:type="gramEnd"/>
      <w:r w:rsidRPr="000B130B">
        <w:rPr>
          <w:rFonts w:ascii="Arial" w:eastAsia="Times New Roman" w:hAnsi="Arial" w:cs="Arial"/>
          <w:color w:val="606160"/>
          <w:sz w:val="24"/>
          <w:szCs w:val="24"/>
          <w:lang w:eastAsia="ru-RU"/>
        </w:rPr>
        <w:t>) накопления за предыдущие годы;</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д</w:t>
      </w:r>
      <w:proofErr w:type="gramEnd"/>
      <w:r w:rsidRPr="000B130B">
        <w:rPr>
          <w:rFonts w:ascii="Arial" w:eastAsia="Times New Roman" w:hAnsi="Arial" w:cs="Arial"/>
          <w:color w:val="606160"/>
          <w:sz w:val="24"/>
          <w:szCs w:val="24"/>
          <w:lang w:eastAsia="ru-RU"/>
        </w:rPr>
        <w:t>) наследство;</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е</w:t>
      </w:r>
      <w:proofErr w:type="gramEnd"/>
      <w:r w:rsidRPr="000B130B">
        <w:rPr>
          <w:rFonts w:ascii="Arial" w:eastAsia="Times New Roman" w:hAnsi="Arial" w:cs="Arial"/>
          <w:color w:val="606160"/>
          <w:sz w:val="24"/>
          <w:szCs w:val="24"/>
          <w:lang w:eastAsia="ru-RU"/>
        </w:rPr>
        <w:t>) дар;</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ж</w:t>
      </w:r>
      <w:proofErr w:type="gramEnd"/>
      <w:r w:rsidRPr="000B130B">
        <w:rPr>
          <w:rFonts w:ascii="Arial" w:eastAsia="Times New Roman" w:hAnsi="Arial" w:cs="Arial"/>
          <w:color w:val="606160"/>
          <w:sz w:val="24"/>
          <w:szCs w:val="24"/>
          <w:lang w:eastAsia="ru-RU"/>
        </w:rPr>
        <w:t>) заем;</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lastRenderedPageBreak/>
        <w:t>з</w:t>
      </w:r>
      <w:proofErr w:type="gramEnd"/>
      <w:r w:rsidRPr="000B130B">
        <w:rPr>
          <w:rFonts w:ascii="Arial" w:eastAsia="Times New Roman" w:hAnsi="Arial" w:cs="Arial"/>
          <w:color w:val="606160"/>
          <w:sz w:val="24"/>
          <w:szCs w:val="24"/>
          <w:lang w:eastAsia="ru-RU"/>
        </w:rPr>
        <w:t>) ипотека;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и</w:t>
      </w:r>
      <w:proofErr w:type="gramEnd"/>
      <w:r w:rsidRPr="000B130B">
        <w:rPr>
          <w:rFonts w:ascii="Arial" w:eastAsia="Times New Roman" w:hAnsi="Arial" w:cs="Arial"/>
          <w:color w:val="606160"/>
          <w:sz w:val="24"/>
          <w:szCs w:val="24"/>
          <w:lang w:eastAsia="ru-RU"/>
        </w:rPr>
        <w:t>) иные кредитные обязательства;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к</w:t>
      </w:r>
      <w:proofErr w:type="gramEnd"/>
      <w:r w:rsidRPr="000B130B">
        <w:rPr>
          <w:rFonts w:ascii="Arial" w:eastAsia="Times New Roman" w:hAnsi="Arial" w:cs="Arial"/>
          <w:color w:val="606160"/>
          <w:sz w:val="24"/>
          <w:szCs w:val="24"/>
          <w:lang w:eastAsia="ru-RU"/>
        </w:rPr>
        <w:t>) доход от продажи имущества;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л</w:t>
      </w:r>
      <w:proofErr w:type="gramEnd"/>
      <w:r w:rsidRPr="000B130B">
        <w:rPr>
          <w:rFonts w:ascii="Arial" w:eastAsia="Times New Roman" w:hAnsi="Arial" w:cs="Arial"/>
          <w:color w:val="606160"/>
          <w:sz w:val="24"/>
          <w:szCs w:val="24"/>
          <w:lang w:eastAsia="ru-RU"/>
        </w:rPr>
        <w:t>) доход от сдачи имущества в аренду;</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м</w:t>
      </w:r>
      <w:proofErr w:type="gramEnd"/>
      <w:r w:rsidRPr="000B130B">
        <w:rPr>
          <w:rFonts w:ascii="Arial" w:eastAsia="Times New Roman" w:hAnsi="Arial" w:cs="Arial"/>
          <w:color w:val="606160"/>
          <w:sz w:val="24"/>
          <w:szCs w:val="24"/>
          <w:lang w:eastAsia="ru-RU"/>
        </w:rPr>
        <w:t xml:space="preserve">)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B130B">
        <w:rPr>
          <w:rFonts w:ascii="Arial" w:eastAsia="Times New Roman" w:hAnsi="Arial" w:cs="Arial"/>
          <w:color w:val="606160"/>
          <w:sz w:val="24"/>
          <w:szCs w:val="24"/>
          <w:lang w:eastAsia="ru-RU"/>
        </w:rPr>
        <w:t>накопительно</w:t>
      </w:r>
      <w:proofErr w:type="spellEnd"/>
      <w:r w:rsidRPr="000B130B">
        <w:rPr>
          <w:rFonts w:ascii="Arial" w:eastAsia="Times New Roman" w:hAnsi="Arial" w:cs="Arial"/>
          <w:color w:val="606160"/>
          <w:sz w:val="24"/>
          <w:szCs w:val="24"/>
          <w:lang w:eastAsia="ru-RU"/>
        </w:rPr>
        <w:t>-ипотечной системы жилищного обеспечения военнослужащих;</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н</w:t>
      </w:r>
      <w:proofErr w:type="gramEnd"/>
      <w:r w:rsidRPr="000B130B">
        <w:rPr>
          <w:rFonts w:ascii="Arial" w:eastAsia="Times New Roman" w:hAnsi="Arial" w:cs="Arial"/>
          <w:color w:val="606160"/>
          <w:sz w:val="24"/>
          <w:szCs w:val="24"/>
          <w:lang w:eastAsia="ru-RU"/>
        </w:rPr>
        <w:t>) средства материнского (семейного) капитала.</w:t>
      </w:r>
    </w:p>
    <w:p w:rsidR="000B130B" w:rsidRPr="000B130B" w:rsidRDefault="000B130B" w:rsidP="000B130B">
      <w:pPr>
        <w:numPr>
          <w:ilvl w:val="0"/>
          <w:numId w:val="27"/>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B130B" w:rsidRPr="000B130B" w:rsidRDefault="000B130B" w:rsidP="000B130B">
      <w:pPr>
        <w:numPr>
          <w:ilvl w:val="0"/>
          <w:numId w:val="27"/>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Представление документов, подтверждающих источники получения средств, не предусмотрено.</w:t>
      </w:r>
    </w:p>
    <w:p w:rsidR="000B130B" w:rsidRPr="000B130B" w:rsidRDefault="000B130B" w:rsidP="000B130B">
      <w:pPr>
        <w:numPr>
          <w:ilvl w:val="0"/>
          <w:numId w:val="27"/>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качестве </w:t>
      </w:r>
      <w:r w:rsidRPr="000B130B">
        <w:rPr>
          <w:rFonts w:ascii="Arial" w:eastAsia="Times New Roman" w:hAnsi="Arial" w:cs="Arial"/>
          <w:b/>
          <w:bCs/>
          <w:color w:val="606160"/>
          <w:sz w:val="24"/>
          <w:szCs w:val="24"/>
          <w:lang w:eastAsia="ru-RU"/>
        </w:rPr>
        <w:t>«Основания приобретения имущества»</w:t>
      </w:r>
      <w:r w:rsidRPr="000B130B">
        <w:rPr>
          <w:rFonts w:ascii="Arial" w:eastAsia="Times New Roman" w:hAnsi="Arial" w:cs="Arial"/>
          <w:b/>
          <w:bCs/>
          <w:i/>
          <w:iCs/>
          <w:color w:val="606160"/>
          <w:sz w:val="24"/>
          <w:szCs w:val="24"/>
          <w:lang w:eastAsia="ru-RU"/>
        </w:rPr>
        <w:t> </w:t>
      </w:r>
      <w:r w:rsidRPr="000B130B">
        <w:rPr>
          <w:rFonts w:ascii="Arial" w:eastAsia="Times New Roman" w:hAnsi="Arial" w:cs="Arial"/>
          <w:color w:val="606160"/>
          <w:sz w:val="24"/>
          <w:szCs w:val="24"/>
          <w:lang w:eastAsia="ru-RU"/>
        </w:rPr>
        <w:t>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Копия вышеуказанного документа прилагается к справке.</w:t>
      </w:r>
    </w:p>
    <w:p w:rsidR="000B130B" w:rsidRPr="000B130B" w:rsidRDefault="000B130B" w:rsidP="000B130B">
      <w:pPr>
        <w:numPr>
          <w:ilvl w:val="0"/>
          <w:numId w:val="28"/>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Особенности заполнения раздела «Сведения о расходах»</w:t>
      </w:r>
      <w:r w:rsidRPr="000B130B">
        <w:rPr>
          <w:rFonts w:ascii="Arial" w:eastAsia="Times New Roman" w:hAnsi="Arial" w:cs="Arial"/>
          <w:color w:val="606160"/>
          <w:sz w:val="24"/>
          <w:szCs w:val="24"/>
          <w:lang w:eastAsia="ru-RU"/>
        </w:rPr>
        <w:t>:</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w:t>
      </w:r>
      <w:r w:rsidRPr="000B130B">
        <w:rPr>
          <w:rFonts w:ascii="Arial" w:eastAsia="Times New Roman" w:hAnsi="Arial" w:cs="Arial"/>
          <w:color w:val="606160"/>
          <w:sz w:val="24"/>
          <w:szCs w:val="24"/>
          <w:lang w:eastAsia="ru-RU"/>
        </w:rPr>
        <w:lastRenderedPageBreak/>
        <w:t>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w:t>
      </w:r>
      <w:proofErr w:type="gramStart"/>
      <w:r w:rsidRPr="000B130B">
        <w:rPr>
          <w:rFonts w:ascii="Arial" w:eastAsia="Times New Roman" w:hAnsi="Arial" w:cs="Arial"/>
          <w:color w:val="606160"/>
          <w:sz w:val="24"/>
          <w:szCs w:val="24"/>
          <w:lang w:eastAsia="ru-RU"/>
        </w:rPr>
        <w:t>работника)  и</w:t>
      </w:r>
      <w:proofErr w:type="gramEnd"/>
      <w:r w:rsidRPr="000B130B">
        <w:rPr>
          <w:rFonts w:ascii="Arial" w:eastAsia="Times New Roman" w:hAnsi="Arial" w:cs="Arial"/>
          <w:color w:val="606160"/>
          <w:sz w:val="24"/>
          <w:szCs w:val="24"/>
          <w:lang w:eastAsia="ru-RU"/>
        </w:rPr>
        <w:t xml:space="preserve"> его супруги (супруга) за три последних года, предшествующих году, в котором приобретено право собственности на указанное имущество;</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РАЗДЕЛ 3. СВЕДЕНИЯ ОБ ИМУЩЕСТВЕ</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Подраздел 3.1 Недвижимое имущество</w:t>
      </w:r>
    </w:p>
    <w:p w:rsidR="000B130B" w:rsidRPr="000B130B" w:rsidRDefault="000B130B" w:rsidP="000B130B">
      <w:pPr>
        <w:numPr>
          <w:ilvl w:val="0"/>
          <w:numId w:val="29"/>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0B130B" w:rsidRPr="000B130B" w:rsidRDefault="000B130B" w:rsidP="000B130B">
      <w:pPr>
        <w:numPr>
          <w:ilvl w:val="0"/>
          <w:numId w:val="29"/>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Заполнение графы </w:t>
      </w:r>
      <w:r w:rsidRPr="000B130B">
        <w:rPr>
          <w:rFonts w:ascii="Arial" w:eastAsia="Times New Roman" w:hAnsi="Arial" w:cs="Arial"/>
          <w:b/>
          <w:bCs/>
          <w:color w:val="606160"/>
          <w:sz w:val="24"/>
          <w:szCs w:val="24"/>
          <w:lang w:eastAsia="ru-RU"/>
        </w:rPr>
        <w:t>«Вид и наименование имущества»</w:t>
      </w:r>
    </w:p>
    <w:p w:rsidR="000B130B" w:rsidRPr="000B130B" w:rsidRDefault="000B130B" w:rsidP="000B130B">
      <w:pPr>
        <w:numPr>
          <w:ilvl w:val="0"/>
          <w:numId w:val="30"/>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указании сведений о </w:t>
      </w:r>
      <w:r w:rsidRPr="000B130B">
        <w:rPr>
          <w:rFonts w:ascii="Arial" w:eastAsia="Times New Roman" w:hAnsi="Arial" w:cs="Arial"/>
          <w:b/>
          <w:bCs/>
          <w:color w:val="606160"/>
          <w:sz w:val="24"/>
          <w:szCs w:val="24"/>
          <w:lang w:eastAsia="ru-RU"/>
        </w:rPr>
        <w:t>земельных участках</w:t>
      </w:r>
      <w:r w:rsidRPr="000B130B">
        <w:rPr>
          <w:rFonts w:ascii="Arial" w:eastAsia="Times New Roman" w:hAnsi="Arial" w:cs="Arial"/>
          <w:color w:val="606160"/>
          <w:sz w:val="24"/>
          <w:szCs w:val="24"/>
          <w:lang w:eastAsia="ru-RU"/>
        </w:rPr>
        <w:t>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lastRenderedPageBreak/>
        <w:t>а</w:t>
      </w:r>
      <w:proofErr w:type="gramEnd"/>
      <w:r w:rsidRPr="000B130B">
        <w:rPr>
          <w:rFonts w:ascii="Arial" w:eastAsia="Times New Roman" w:hAnsi="Arial" w:cs="Arial"/>
          <w:color w:val="606160"/>
          <w:sz w:val="24"/>
          <w:szCs w:val="24"/>
          <w:lang w:eastAsia="ru-RU"/>
        </w:rPr>
        <w:t>)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B130B" w:rsidRPr="000B130B" w:rsidRDefault="000B130B" w:rsidP="000B130B">
      <w:pPr>
        <w:numPr>
          <w:ilvl w:val="0"/>
          <w:numId w:val="3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B130B" w:rsidRPr="000B130B" w:rsidRDefault="000B130B" w:rsidP="000B130B">
      <w:pPr>
        <w:numPr>
          <w:ilvl w:val="0"/>
          <w:numId w:val="3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0B130B" w:rsidRPr="000B130B" w:rsidRDefault="000B130B" w:rsidP="000B130B">
      <w:pPr>
        <w:numPr>
          <w:ilvl w:val="0"/>
          <w:numId w:val="3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подразделе 3.1 справки земельный участок под многоквартирным домом не подлежит указанию.</w:t>
      </w:r>
    </w:p>
    <w:p w:rsidR="000B130B" w:rsidRPr="000B130B" w:rsidRDefault="000B130B" w:rsidP="000B130B">
      <w:pPr>
        <w:numPr>
          <w:ilvl w:val="0"/>
          <w:numId w:val="3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наличии в собственности </w:t>
      </w:r>
      <w:r w:rsidRPr="000B130B">
        <w:rPr>
          <w:rFonts w:ascii="Arial" w:eastAsia="Times New Roman" w:hAnsi="Arial" w:cs="Arial"/>
          <w:b/>
          <w:bCs/>
          <w:color w:val="606160"/>
          <w:sz w:val="24"/>
          <w:szCs w:val="24"/>
          <w:lang w:eastAsia="ru-RU"/>
        </w:rPr>
        <w:t>жилого, дачного или садового дома,</w:t>
      </w:r>
      <w:r w:rsidRPr="000B130B">
        <w:rPr>
          <w:rFonts w:ascii="Arial" w:eastAsia="Times New Roman" w:hAnsi="Arial" w:cs="Arial"/>
          <w:color w:val="606160"/>
          <w:sz w:val="24"/>
          <w:szCs w:val="24"/>
          <w:lang w:eastAsia="ru-RU"/>
        </w:rPr>
        <w:t>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B130B" w:rsidRPr="000B130B" w:rsidRDefault="000B130B" w:rsidP="000B130B">
      <w:pPr>
        <w:numPr>
          <w:ilvl w:val="0"/>
          <w:numId w:val="3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заполнении строки 3 «</w:t>
      </w:r>
      <w:r w:rsidRPr="000B130B">
        <w:rPr>
          <w:rFonts w:ascii="Arial" w:eastAsia="Times New Roman" w:hAnsi="Arial" w:cs="Arial"/>
          <w:b/>
          <w:bCs/>
          <w:color w:val="606160"/>
          <w:sz w:val="24"/>
          <w:szCs w:val="24"/>
          <w:lang w:eastAsia="ru-RU"/>
        </w:rPr>
        <w:t>Квартиры</w:t>
      </w:r>
      <w:r w:rsidRPr="000B130B">
        <w:rPr>
          <w:rFonts w:ascii="Arial" w:eastAsia="Times New Roman" w:hAnsi="Arial" w:cs="Arial"/>
          <w:color w:val="606160"/>
          <w:sz w:val="24"/>
          <w:szCs w:val="24"/>
          <w:lang w:eastAsia="ru-RU"/>
        </w:rPr>
        <w:t>» соответственно вносятся сведения о ней, например 2-комнатная квартира.</w:t>
      </w:r>
    </w:p>
    <w:p w:rsidR="000B130B" w:rsidRPr="000B130B" w:rsidRDefault="000B130B" w:rsidP="000B130B">
      <w:pPr>
        <w:numPr>
          <w:ilvl w:val="0"/>
          <w:numId w:val="3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строке 4 «</w:t>
      </w:r>
      <w:r w:rsidRPr="000B130B">
        <w:rPr>
          <w:rFonts w:ascii="Arial" w:eastAsia="Times New Roman" w:hAnsi="Arial" w:cs="Arial"/>
          <w:b/>
          <w:bCs/>
          <w:color w:val="606160"/>
          <w:sz w:val="24"/>
          <w:szCs w:val="24"/>
          <w:lang w:eastAsia="ru-RU"/>
        </w:rPr>
        <w:t>Гаражи</w:t>
      </w:r>
      <w:r w:rsidRPr="000B130B">
        <w:rPr>
          <w:rFonts w:ascii="Arial" w:eastAsia="Times New Roman" w:hAnsi="Arial" w:cs="Arial"/>
          <w:color w:val="606160"/>
          <w:sz w:val="24"/>
          <w:szCs w:val="24"/>
          <w:lang w:eastAsia="ru-RU"/>
        </w:rPr>
        <w:t>» указывается информация об организованных местах хранения автотранспорта - «гараж», «</w:t>
      </w:r>
      <w:proofErr w:type="spellStart"/>
      <w:r w:rsidRPr="000B130B">
        <w:rPr>
          <w:rFonts w:ascii="Arial" w:eastAsia="Times New Roman" w:hAnsi="Arial" w:cs="Arial"/>
          <w:color w:val="606160"/>
          <w:sz w:val="24"/>
          <w:szCs w:val="24"/>
          <w:lang w:eastAsia="ru-RU"/>
        </w:rPr>
        <w:t>машино</w:t>
      </w:r>
      <w:proofErr w:type="spellEnd"/>
      <w:r w:rsidRPr="000B130B">
        <w:rPr>
          <w:rFonts w:ascii="Arial" w:eastAsia="Times New Roman" w:hAnsi="Arial" w:cs="Arial"/>
          <w:color w:val="606160"/>
          <w:sz w:val="24"/>
          <w:szCs w:val="24"/>
          <w:lang w:eastAsia="ru-RU"/>
        </w:rPr>
        <w:t>-место» и другие на основании свидетельства о регистрации права собственности (иного правоустанавливающего документа).</w:t>
      </w:r>
    </w:p>
    <w:p w:rsidR="000B130B" w:rsidRPr="000B130B" w:rsidRDefault="000B130B" w:rsidP="000B130B">
      <w:pPr>
        <w:numPr>
          <w:ilvl w:val="0"/>
          <w:numId w:val="3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графе </w:t>
      </w:r>
      <w:r w:rsidRPr="000B130B">
        <w:rPr>
          <w:rFonts w:ascii="Arial" w:eastAsia="Times New Roman" w:hAnsi="Arial" w:cs="Arial"/>
          <w:b/>
          <w:bCs/>
          <w:color w:val="606160"/>
          <w:sz w:val="24"/>
          <w:szCs w:val="24"/>
          <w:lang w:eastAsia="ru-RU"/>
        </w:rPr>
        <w:t>«Вид собственности»</w:t>
      </w:r>
      <w:r w:rsidRPr="000B130B">
        <w:rPr>
          <w:rFonts w:ascii="Arial" w:eastAsia="Times New Roman" w:hAnsi="Arial" w:cs="Arial"/>
          <w:color w:val="606160"/>
          <w:sz w:val="24"/>
          <w:szCs w:val="24"/>
          <w:lang w:eastAsia="ru-RU"/>
        </w:rPr>
        <w:t> указывается вид собственности на имущество (индивидуальная, общая совместная, общая долевая).</w:t>
      </w:r>
    </w:p>
    <w:p w:rsidR="000B130B" w:rsidRPr="000B130B" w:rsidRDefault="000B130B" w:rsidP="000B130B">
      <w:pPr>
        <w:numPr>
          <w:ilvl w:val="0"/>
          <w:numId w:val="3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В соответствии с Гражданским кодексом Российской Федерации имущество принадлежит лицам на праве общей собственности, если находится в </w:t>
      </w:r>
      <w:r w:rsidRPr="000B130B">
        <w:rPr>
          <w:rFonts w:ascii="Arial" w:eastAsia="Times New Roman" w:hAnsi="Arial" w:cs="Arial"/>
          <w:color w:val="606160"/>
          <w:sz w:val="24"/>
          <w:szCs w:val="24"/>
          <w:lang w:eastAsia="ru-RU"/>
        </w:rPr>
        <w:lastRenderedPageBreak/>
        <w:t>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B130B" w:rsidRPr="000B130B" w:rsidRDefault="000B130B" w:rsidP="000B130B">
      <w:pPr>
        <w:numPr>
          <w:ilvl w:val="0"/>
          <w:numId w:val="3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B130B" w:rsidRPr="000B130B" w:rsidRDefault="000B130B" w:rsidP="000B130B">
      <w:pPr>
        <w:numPr>
          <w:ilvl w:val="0"/>
          <w:numId w:val="3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Местонахождение (адрес)</w:t>
      </w:r>
      <w:r w:rsidRPr="000B130B">
        <w:rPr>
          <w:rFonts w:ascii="Arial" w:eastAsia="Times New Roman" w:hAnsi="Arial" w:cs="Arial"/>
          <w:color w:val="606160"/>
          <w:sz w:val="24"/>
          <w:szCs w:val="24"/>
          <w:lang w:eastAsia="ru-RU"/>
        </w:rPr>
        <w:t> недвижимого имущества указывается согласно правоустанавливающим документам.</w:t>
      </w:r>
    </w:p>
    <w:p w:rsidR="000B130B" w:rsidRPr="000B130B" w:rsidRDefault="000B130B" w:rsidP="000B130B">
      <w:pPr>
        <w:numPr>
          <w:ilvl w:val="0"/>
          <w:numId w:val="3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Если правообладателем объекта недвижимого имущества является физическое лицо, то указывается: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индекс;</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субъект Российской Федерации;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район;</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г</w:t>
      </w:r>
      <w:proofErr w:type="gramEnd"/>
      <w:r w:rsidRPr="000B130B">
        <w:rPr>
          <w:rFonts w:ascii="Arial" w:eastAsia="Times New Roman" w:hAnsi="Arial" w:cs="Arial"/>
          <w:color w:val="606160"/>
          <w:sz w:val="24"/>
          <w:szCs w:val="24"/>
          <w:lang w:eastAsia="ru-RU"/>
        </w:rPr>
        <w:t>) город иной населенный пункт (село, поселок и т.д.);</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д</w:t>
      </w:r>
      <w:proofErr w:type="gramEnd"/>
      <w:r w:rsidRPr="000B130B">
        <w:rPr>
          <w:rFonts w:ascii="Arial" w:eastAsia="Times New Roman" w:hAnsi="Arial" w:cs="Arial"/>
          <w:color w:val="606160"/>
          <w:sz w:val="24"/>
          <w:szCs w:val="24"/>
          <w:lang w:eastAsia="ru-RU"/>
        </w:rPr>
        <w:t>) улица (проспект, переулок и т.д.);</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е</w:t>
      </w:r>
      <w:proofErr w:type="gramEnd"/>
      <w:r w:rsidRPr="000B130B">
        <w:rPr>
          <w:rFonts w:ascii="Arial" w:eastAsia="Times New Roman" w:hAnsi="Arial" w:cs="Arial"/>
          <w:color w:val="606160"/>
          <w:sz w:val="24"/>
          <w:szCs w:val="24"/>
          <w:lang w:eastAsia="ru-RU"/>
        </w:rPr>
        <w:t>) номер дома (владения, участка), корпуса (строения), квартиры.</w:t>
      </w:r>
    </w:p>
    <w:p w:rsidR="000B130B" w:rsidRPr="000B130B" w:rsidRDefault="000B130B" w:rsidP="000B130B">
      <w:pPr>
        <w:numPr>
          <w:ilvl w:val="0"/>
          <w:numId w:val="32"/>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Если недвижимость находится за рубежом, то указывается: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наименование государства;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населенный пункт (иная единица административно-территориального деления);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почтовый адрес.</w:t>
      </w:r>
    </w:p>
    <w:p w:rsidR="000B130B" w:rsidRPr="000B130B" w:rsidRDefault="000B130B" w:rsidP="000B130B">
      <w:pPr>
        <w:numPr>
          <w:ilvl w:val="0"/>
          <w:numId w:val="33"/>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Площадь</w:t>
      </w:r>
      <w:r w:rsidRPr="000B130B">
        <w:rPr>
          <w:rFonts w:ascii="Arial" w:eastAsia="Times New Roman" w:hAnsi="Arial" w:cs="Arial"/>
          <w:b/>
          <w:bCs/>
          <w:i/>
          <w:iCs/>
          <w:color w:val="606160"/>
          <w:sz w:val="24"/>
          <w:szCs w:val="24"/>
          <w:lang w:eastAsia="ru-RU"/>
        </w:rPr>
        <w:t> </w:t>
      </w:r>
      <w:r w:rsidRPr="000B130B">
        <w:rPr>
          <w:rFonts w:ascii="Arial" w:eastAsia="Times New Roman" w:hAnsi="Arial" w:cs="Arial"/>
          <w:color w:val="606160"/>
          <w:sz w:val="24"/>
          <w:szCs w:val="24"/>
          <w:lang w:eastAsia="ru-RU"/>
        </w:rPr>
        <w:t>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Основание приобретения и источники средств</w:t>
      </w:r>
    </w:p>
    <w:p w:rsidR="000B130B" w:rsidRPr="000B130B" w:rsidRDefault="000B130B" w:rsidP="000B130B">
      <w:pPr>
        <w:numPr>
          <w:ilvl w:val="0"/>
          <w:numId w:val="34"/>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Для каждого объекта недвижимого имущества указывается основание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0B130B" w:rsidRPr="000B130B" w:rsidRDefault="000B130B" w:rsidP="000B130B">
      <w:pPr>
        <w:numPr>
          <w:ilvl w:val="0"/>
          <w:numId w:val="34"/>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Обязанность сообщать сведения об </w:t>
      </w:r>
      <w:r w:rsidRPr="000B130B">
        <w:rPr>
          <w:rFonts w:ascii="Arial" w:eastAsia="Times New Roman" w:hAnsi="Arial" w:cs="Arial"/>
          <w:b/>
          <w:bCs/>
          <w:color w:val="606160"/>
          <w:sz w:val="24"/>
          <w:szCs w:val="24"/>
          <w:lang w:eastAsia="ru-RU"/>
        </w:rPr>
        <w:t>источнике средств</w:t>
      </w:r>
      <w:r w:rsidRPr="000B130B">
        <w:rPr>
          <w:rFonts w:ascii="Arial" w:eastAsia="Times New Roman" w:hAnsi="Arial" w:cs="Arial"/>
          <w:color w:val="606160"/>
          <w:sz w:val="24"/>
          <w:szCs w:val="24"/>
          <w:lang w:eastAsia="ru-RU"/>
        </w:rPr>
        <w:t>,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lastRenderedPageBreak/>
        <w:t>лиц</w:t>
      </w:r>
      <w:proofErr w:type="gramEnd"/>
      <w:r w:rsidRPr="000B130B">
        <w:rPr>
          <w:rFonts w:ascii="Arial" w:eastAsia="Times New Roman" w:hAnsi="Arial" w:cs="Arial"/>
          <w:color w:val="606160"/>
          <w:sz w:val="24"/>
          <w:szCs w:val="24"/>
          <w:lang w:eastAsia="ru-RU"/>
        </w:rPr>
        <w:t>, замещающих (занимающих):</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государственные должности Российской Федерации;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должности первого заместителя и заместителей Генерального прокурора Российской Федерации;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должности членов Совета директоров Центрального банка Российской Федерации;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г</w:t>
      </w:r>
      <w:proofErr w:type="gramEnd"/>
      <w:r w:rsidRPr="000B130B">
        <w:rPr>
          <w:rFonts w:ascii="Arial" w:eastAsia="Times New Roman" w:hAnsi="Arial" w:cs="Arial"/>
          <w:color w:val="606160"/>
          <w:sz w:val="24"/>
          <w:szCs w:val="24"/>
          <w:lang w:eastAsia="ru-RU"/>
        </w:rPr>
        <w:t>) государственные должности субъектов Российской Федерации;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д</w:t>
      </w:r>
      <w:proofErr w:type="gramEnd"/>
      <w:r w:rsidRPr="000B130B">
        <w:rPr>
          <w:rFonts w:ascii="Arial" w:eastAsia="Times New Roman" w:hAnsi="Arial" w:cs="Arial"/>
          <w:color w:val="606160"/>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е</w:t>
      </w:r>
      <w:proofErr w:type="gramEnd"/>
      <w:r w:rsidRPr="000B130B">
        <w:rPr>
          <w:rFonts w:ascii="Arial" w:eastAsia="Times New Roman" w:hAnsi="Arial" w:cs="Arial"/>
          <w:color w:val="606160"/>
          <w:sz w:val="24"/>
          <w:szCs w:val="24"/>
          <w:lang w:eastAsia="ru-RU"/>
        </w:rPr>
        <w:t>) должности заместителей руководителей федеральных органов исполнительной власти;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ж</w:t>
      </w:r>
      <w:proofErr w:type="gramEnd"/>
      <w:r w:rsidRPr="000B130B">
        <w:rPr>
          <w:rFonts w:ascii="Arial" w:eastAsia="Times New Roman" w:hAnsi="Arial" w:cs="Arial"/>
          <w:color w:val="606160"/>
          <w:sz w:val="24"/>
          <w:szCs w:val="24"/>
          <w:lang w:eastAsia="ru-RU"/>
        </w:rPr>
        <w:t>)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з</w:t>
      </w:r>
      <w:proofErr w:type="gramEnd"/>
      <w:r w:rsidRPr="000B130B">
        <w:rPr>
          <w:rFonts w:ascii="Arial" w:eastAsia="Times New Roman" w:hAnsi="Arial" w:cs="Arial"/>
          <w:color w:val="606160"/>
          <w:sz w:val="24"/>
          <w:szCs w:val="24"/>
          <w:lang w:eastAsia="ru-RU"/>
        </w:rPr>
        <w:t>) должности глав городских округов, глав муниципальных районов;</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супруг</w:t>
      </w:r>
      <w:proofErr w:type="gramEnd"/>
      <w:r w:rsidRPr="000B130B">
        <w:rPr>
          <w:rFonts w:ascii="Arial" w:eastAsia="Times New Roman" w:hAnsi="Arial" w:cs="Arial"/>
          <w:color w:val="606160"/>
          <w:sz w:val="24"/>
          <w:szCs w:val="24"/>
          <w:lang w:eastAsia="ru-RU"/>
        </w:rPr>
        <w:t xml:space="preserve"> и несовершеннолетних детей лиц, указанных в подпунктах "а"-"з" настоящего пункта;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иных</w:t>
      </w:r>
      <w:proofErr w:type="gramEnd"/>
      <w:r w:rsidRPr="000B130B">
        <w:rPr>
          <w:rFonts w:ascii="Arial" w:eastAsia="Times New Roman" w:hAnsi="Arial" w:cs="Arial"/>
          <w:color w:val="606160"/>
          <w:sz w:val="24"/>
          <w:szCs w:val="24"/>
          <w:lang w:eastAsia="ru-RU"/>
        </w:rPr>
        <w:t xml:space="preserve"> лиц в случаях, предусмотренных федеральными законами.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Подраздел 3.2. Транспортные средства</w:t>
      </w:r>
    </w:p>
    <w:p w:rsidR="000B130B" w:rsidRPr="000B130B" w:rsidRDefault="000B130B" w:rsidP="000B130B">
      <w:pPr>
        <w:numPr>
          <w:ilvl w:val="0"/>
          <w:numId w:val="3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w:t>
      </w:r>
      <w:r w:rsidRPr="000B130B">
        <w:rPr>
          <w:rFonts w:ascii="Arial" w:eastAsia="Times New Roman" w:hAnsi="Arial" w:cs="Arial"/>
          <w:color w:val="606160"/>
          <w:sz w:val="24"/>
          <w:szCs w:val="24"/>
          <w:lang w:eastAsia="ru-RU"/>
        </w:rPr>
        <w:lastRenderedPageBreak/>
        <w:t>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0B130B" w:rsidRPr="000B130B" w:rsidRDefault="000B130B" w:rsidP="000B130B">
      <w:pPr>
        <w:numPr>
          <w:ilvl w:val="0"/>
          <w:numId w:val="3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0B130B" w:rsidRPr="000B130B" w:rsidRDefault="000B130B" w:rsidP="000B130B">
      <w:pPr>
        <w:numPr>
          <w:ilvl w:val="0"/>
          <w:numId w:val="3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p>
    <w:p w:rsidR="000B130B" w:rsidRPr="000B130B" w:rsidRDefault="000B130B" w:rsidP="000B130B">
      <w:pPr>
        <w:numPr>
          <w:ilvl w:val="0"/>
          <w:numId w:val="3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заполнении графы</w:t>
      </w:r>
      <w:r w:rsidRPr="000B130B">
        <w:rPr>
          <w:rFonts w:ascii="Arial" w:eastAsia="Times New Roman" w:hAnsi="Arial" w:cs="Arial"/>
          <w:b/>
          <w:bCs/>
          <w:i/>
          <w:iCs/>
          <w:color w:val="606160"/>
          <w:sz w:val="24"/>
          <w:szCs w:val="24"/>
          <w:lang w:eastAsia="ru-RU"/>
        </w:rPr>
        <w:t> </w:t>
      </w:r>
      <w:r w:rsidRPr="000B130B">
        <w:rPr>
          <w:rFonts w:ascii="Arial" w:eastAsia="Times New Roman" w:hAnsi="Arial" w:cs="Arial"/>
          <w:b/>
          <w:bCs/>
          <w:color w:val="606160"/>
          <w:sz w:val="24"/>
          <w:szCs w:val="24"/>
          <w:lang w:eastAsia="ru-RU"/>
        </w:rPr>
        <w:t>«Место регистрации»</w:t>
      </w:r>
      <w:r w:rsidRPr="000B130B">
        <w:rPr>
          <w:rFonts w:ascii="Arial" w:eastAsia="Times New Roman" w:hAnsi="Arial" w:cs="Arial"/>
          <w:b/>
          <w:bCs/>
          <w:i/>
          <w:iCs/>
          <w:color w:val="606160"/>
          <w:sz w:val="24"/>
          <w:szCs w:val="24"/>
          <w:lang w:eastAsia="ru-RU"/>
        </w:rPr>
        <w:t> </w:t>
      </w:r>
      <w:r w:rsidRPr="000B130B">
        <w:rPr>
          <w:rFonts w:ascii="Arial" w:eastAsia="Times New Roman" w:hAnsi="Arial" w:cs="Arial"/>
          <w:color w:val="606160"/>
          <w:sz w:val="24"/>
          <w:szCs w:val="24"/>
          <w:lang w:eastAsia="ru-RU"/>
        </w:rPr>
        <w:t>указывается наименование органа внутренних дел, осуществившего регистрационный учет транспортного средства, например МО ГИБДД ТНРЭР № 2 ГУ МВД России по г. Москве, ОГИБДД ММО МВД России «</w:t>
      </w:r>
      <w:proofErr w:type="spellStart"/>
      <w:r w:rsidRPr="000B130B">
        <w:rPr>
          <w:rFonts w:ascii="Arial" w:eastAsia="Times New Roman" w:hAnsi="Arial" w:cs="Arial"/>
          <w:color w:val="606160"/>
          <w:sz w:val="24"/>
          <w:szCs w:val="24"/>
          <w:lang w:eastAsia="ru-RU"/>
        </w:rPr>
        <w:t>Шалинский</w:t>
      </w:r>
      <w:proofErr w:type="spellEnd"/>
      <w:r w:rsidRPr="000B130B">
        <w:rPr>
          <w:rFonts w:ascii="Arial" w:eastAsia="Times New Roman" w:hAnsi="Arial" w:cs="Arial"/>
          <w:color w:val="606160"/>
          <w:sz w:val="24"/>
          <w:szCs w:val="24"/>
          <w:lang w:eastAsia="ru-RU"/>
        </w:rPr>
        <w:t xml:space="preserve">», ОГИБДД ММО МВД России по </w:t>
      </w:r>
      <w:proofErr w:type="spellStart"/>
      <w:r w:rsidRPr="000B130B">
        <w:rPr>
          <w:rFonts w:ascii="Arial" w:eastAsia="Times New Roman" w:hAnsi="Arial" w:cs="Arial"/>
          <w:color w:val="606160"/>
          <w:sz w:val="24"/>
          <w:szCs w:val="24"/>
          <w:lang w:eastAsia="ru-RU"/>
        </w:rPr>
        <w:t>Новолялинскому</w:t>
      </w:r>
      <w:proofErr w:type="spellEnd"/>
      <w:r w:rsidRPr="000B130B">
        <w:rPr>
          <w:rFonts w:ascii="Arial" w:eastAsia="Times New Roman" w:hAnsi="Arial" w:cs="Arial"/>
          <w:color w:val="606160"/>
          <w:sz w:val="24"/>
          <w:szCs w:val="24"/>
          <w:lang w:eastAsia="ru-RU"/>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РАЗДЕЛ 4. СВЕДЕНИЯ О СЧЕТАХ В БАНКАХ И ИНЫХ КРЕДИТНЫХ ОРГАНИЗАЦИЯХ</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 </w:t>
      </w:r>
    </w:p>
    <w:p w:rsidR="000B130B" w:rsidRPr="000B130B" w:rsidRDefault="000B130B" w:rsidP="000B130B">
      <w:pPr>
        <w:numPr>
          <w:ilvl w:val="0"/>
          <w:numId w:val="3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0B130B" w:rsidRPr="000B130B" w:rsidRDefault="000B130B" w:rsidP="000B130B">
      <w:pPr>
        <w:numPr>
          <w:ilvl w:val="0"/>
          <w:numId w:val="3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0B130B" w:rsidRPr="000B130B" w:rsidRDefault="000B130B" w:rsidP="000B130B">
      <w:pPr>
        <w:numPr>
          <w:ilvl w:val="0"/>
          <w:numId w:val="3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0B130B" w:rsidRPr="000B130B" w:rsidRDefault="000B130B" w:rsidP="000B130B">
      <w:pPr>
        <w:numPr>
          <w:ilvl w:val="0"/>
          <w:numId w:val="3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lastRenderedPageBreak/>
        <w:t>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6" w:history="1">
        <w:r w:rsidRPr="000B130B">
          <w:rPr>
            <w:rFonts w:ascii="Arial" w:eastAsia="Times New Roman" w:hAnsi="Arial" w:cs="Arial"/>
            <w:color w:val="4C6691"/>
            <w:sz w:val="24"/>
            <w:szCs w:val="24"/>
            <w:u w:val="single"/>
            <w:lang w:eastAsia="ru-RU"/>
          </w:rPr>
          <w:t>http://www.cbr.ru/hd_base/?PrtId=metall_base_new</w:t>
        </w:r>
      </w:hyperlink>
      <w:r w:rsidRPr="000B130B">
        <w:rPr>
          <w:rFonts w:ascii="Arial" w:eastAsia="Times New Roman" w:hAnsi="Arial" w:cs="Arial"/>
          <w:color w:val="606160"/>
          <w:sz w:val="24"/>
          <w:szCs w:val="24"/>
          <w:lang w:eastAsia="ru-RU"/>
        </w:rPr>
        <w:t>. (Данные учетные цены применяются для целей бухгалтерского учета в кредитных организациях).</w:t>
      </w:r>
    </w:p>
    <w:p w:rsidR="000B130B" w:rsidRPr="000B130B" w:rsidRDefault="000B130B" w:rsidP="000B130B">
      <w:pPr>
        <w:numPr>
          <w:ilvl w:val="0"/>
          <w:numId w:val="3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Кредитные карты, карты с овердрафтом</w:t>
      </w:r>
    </w:p>
    <w:p w:rsidR="000B130B" w:rsidRPr="000B130B" w:rsidRDefault="000B130B" w:rsidP="000B130B">
      <w:pPr>
        <w:numPr>
          <w:ilvl w:val="0"/>
          <w:numId w:val="37"/>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0B130B" w:rsidRPr="000B130B" w:rsidRDefault="000B130B" w:rsidP="000B130B">
      <w:pPr>
        <w:numPr>
          <w:ilvl w:val="0"/>
          <w:numId w:val="37"/>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0B130B" w:rsidRPr="000B130B" w:rsidRDefault="000B130B" w:rsidP="000B130B">
      <w:pPr>
        <w:numPr>
          <w:ilvl w:val="0"/>
          <w:numId w:val="37"/>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подразделе 6.2 справки.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Вид и валюта счета</w:t>
      </w:r>
    </w:p>
    <w:p w:rsidR="000B130B" w:rsidRPr="000B130B" w:rsidRDefault="000B130B" w:rsidP="000B130B">
      <w:pPr>
        <w:numPr>
          <w:ilvl w:val="0"/>
          <w:numId w:val="38"/>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w:t>
      </w:r>
    </w:p>
    <w:p w:rsidR="000B130B" w:rsidRPr="000B130B" w:rsidRDefault="000B130B" w:rsidP="000B130B">
      <w:pPr>
        <w:numPr>
          <w:ilvl w:val="0"/>
          <w:numId w:val="38"/>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Согласно данной Инструкции физическим лицам открываются следующие виды счетов (таблица № 4):</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5100"/>
      </w:tblGrid>
      <w:tr w:rsidR="000B130B" w:rsidRPr="000B130B" w:rsidTr="000B130B">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Текущие счета</w:t>
            </w:r>
          </w:p>
        </w:tc>
        <w:tc>
          <w:tcPr>
            <w:tcW w:w="510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Открываются физическим лицам для совершения операций, не связанных с предпринимательской деятельностью или частной практикой</w:t>
            </w:r>
          </w:p>
        </w:tc>
      </w:tr>
      <w:tr w:rsidR="000B130B" w:rsidRPr="000B130B" w:rsidTr="000B130B">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Расчетные счета</w:t>
            </w:r>
          </w:p>
        </w:tc>
        <w:tc>
          <w:tcPr>
            <w:tcW w:w="510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w:t>
            </w:r>
            <w:r w:rsidRPr="000B130B">
              <w:rPr>
                <w:rFonts w:ascii="Arial" w:eastAsia="Times New Roman" w:hAnsi="Arial" w:cs="Arial"/>
                <w:color w:val="606160"/>
                <w:sz w:val="24"/>
                <w:szCs w:val="24"/>
                <w:lang w:eastAsia="ru-RU"/>
              </w:rPr>
              <w:lastRenderedPageBreak/>
              <w:t>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0B130B" w:rsidRPr="000B130B" w:rsidTr="000B130B">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lastRenderedPageBreak/>
              <w:t>Счета доверительного управления</w:t>
            </w:r>
          </w:p>
        </w:tc>
        <w:tc>
          <w:tcPr>
            <w:tcW w:w="510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Открываются доверительному управляющему для осуществления операций, связанных с деятельностью по доверительному управлению</w:t>
            </w:r>
          </w:p>
        </w:tc>
      </w:tr>
      <w:tr w:rsidR="000B130B" w:rsidRPr="000B130B" w:rsidTr="000B130B">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B130B">
              <w:rPr>
                <w:rFonts w:ascii="Arial" w:eastAsia="Times New Roman" w:hAnsi="Arial" w:cs="Arial"/>
                <w:color w:val="606160"/>
                <w:sz w:val="24"/>
                <w:szCs w:val="24"/>
                <w:lang w:eastAsia="ru-RU"/>
              </w:rPr>
              <w:t>эскроу</w:t>
            </w:r>
            <w:proofErr w:type="spellEnd"/>
            <w:r w:rsidRPr="000B130B">
              <w:rPr>
                <w:rFonts w:ascii="Arial" w:eastAsia="Times New Roman" w:hAnsi="Arial" w:cs="Arial"/>
                <w:color w:val="606160"/>
                <w:sz w:val="24"/>
                <w:szCs w:val="24"/>
                <w:lang w:eastAsia="ru-RU"/>
              </w:rPr>
              <w:t>, залоговый счет, специальный банковский счет должника</w:t>
            </w:r>
          </w:p>
        </w:tc>
        <w:tc>
          <w:tcPr>
            <w:tcW w:w="510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0B130B" w:rsidRPr="000B130B" w:rsidTr="000B130B">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Депозитные счета судов, подразделений службы судебных приставов, правоохранительных органов, нотариусов</w:t>
            </w:r>
          </w:p>
        </w:tc>
        <w:tc>
          <w:tcPr>
            <w:tcW w:w="510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0B130B" w:rsidRPr="000B130B" w:rsidTr="000B130B">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Счета по вкладам (депозитам)</w:t>
            </w:r>
          </w:p>
        </w:tc>
        <w:tc>
          <w:tcPr>
            <w:tcW w:w="5100" w:type="dxa"/>
            <w:tcBorders>
              <w:top w:val="outset" w:sz="6" w:space="0" w:color="auto"/>
              <w:left w:val="outset" w:sz="6" w:space="0" w:color="auto"/>
              <w:bottom w:val="outset" w:sz="6" w:space="0" w:color="auto"/>
              <w:right w:val="outset" w:sz="6" w:space="0" w:color="auto"/>
            </w:tcBorders>
            <w:hideMark/>
          </w:tcPr>
          <w:p w:rsidR="000B130B" w:rsidRPr="000B130B" w:rsidRDefault="000B130B" w:rsidP="000B130B">
            <w:pPr>
              <w:spacing w:before="225" w:after="0" w:line="240" w:lineRule="auto"/>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p w:rsidR="000B130B" w:rsidRPr="000B130B" w:rsidRDefault="000B130B" w:rsidP="000B130B">
      <w:pPr>
        <w:numPr>
          <w:ilvl w:val="0"/>
          <w:numId w:val="39"/>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0B130B" w:rsidRPr="000B130B" w:rsidRDefault="000B130B" w:rsidP="000B130B">
      <w:pPr>
        <w:numPr>
          <w:ilvl w:val="0"/>
          <w:numId w:val="39"/>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III приложения к Положению Центрального банка Российской Федерации от 16 июля </w:t>
      </w:r>
      <w:r w:rsidRPr="000B130B">
        <w:rPr>
          <w:rFonts w:ascii="Arial" w:eastAsia="Times New Roman" w:hAnsi="Arial" w:cs="Arial"/>
          <w:color w:val="606160"/>
          <w:sz w:val="24"/>
          <w:szCs w:val="24"/>
          <w:lang w:eastAsia="ru-RU"/>
        </w:rPr>
        <w:lastRenderedPageBreak/>
        <w:t>2012 г. № 385-П «О правилах ведения бухгалтерского учета в кредитных организациях, расположенных на территории Российской Федерации»).</w:t>
      </w:r>
    </w:p>
    <w:p w:rsidR="000B130B" w:rsidRPr="000B130B" w:rsidRDefault="000B130B" w:rsidP="000B130B">
      <w:pPr>
        <w:numPr>
          <w:ilvl w:val="0"/>
          <w:numId w:val="39"/>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Остаток на счете</w:t>
      </w:r>
      <w:r w:rsidRPr="000B130B">
        <w:rPr>
          <w:rFonts w:ascii="Arial" w:eastAsia="Times New Roman" w:hAnsi="Arial" w:cs="Arial"/>
          <w:color w:val="606160"/>
          <w:sz w:val="24"/>
          <w:szCs w:val="24"/>
          <w:lang w:eastAsia="ru-RU"/>
        </w:rPr>
        <w:t>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7" w:history="1">
        <w:r w:rsidRPr="000B130B">
          <w:rPr>
            <w:rFonts w:ascii="Arial" w:eastAsia="Times New Roman" w:hAnsi="Arial" w:cs="Arial"/>
            <w:color w:val="4C6691"/>
            <w:sz w:val="24"/>
            <w:szCs w:val="24"/>
            <w:u w:val="single"/>
            <w:lang w:eastAsia="ru-RU"/>
          </w:rPr>
          <w:t>http://www.cbr.ru/currency_base/daily.aspx</w:t>
        </w:r>
      </w:hyperlink>
      <w:r w:rsidRPr="000B130B">
        <w:rPr>
          <w:rFonts w:ascii="Arial" w:eastAsia="Times New Roman" w:hAnsi="Arial" w:cs="Arial"/>
          <w:color w:val="606160"/>
          <w:sz w:val="24"/>
          <w:szCs w:val="24"/>
          <w:lang w:eastAsia="ru-RU"/>
        </w:rPr>
        <w:t>.</w:t>
      </w:r>
    </w:p>
    <w:p w:rsidR="000B130B" w:rsidRPr="000B130B" w:rsidRDefault="000B130B" w:rsidP="000B130B">
      <w:pPr>
        <w:numPr>
          <w:ilvl w:val="0"/>
          <w:numId w:val="39"/>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Графа </w:t>
      </w:r>
      <w:r w:rsidRPr="000B130B">
        <w:rPr>
          <w:rFonts w:ascii="Arial" w:eastAsia="Times New Roman" w:hAnsi="Arial" w:cs="Arial"/>
          <w:b/>
          <w:bCs/>
          <w:color w:val="606160"/>
          <w:sz w:val="24"/>
          <w:szCs w:val="24"/>
          <w:lang w:eastAsia="ru-RU"/>
        </w:rPr>
        <w:t>«Сумма поступивших на счет денежных средств»</w:t>
      </w:r>
      <w:r w:rsidRPr="000B130B">
        <w:rPr>
          <w:rFonts w:ascii="Arial" w:eastAsia="Times New Roman" w:hAnsi="Arial" w:cs="Arial"/>
          <w:color w:val="606160"/>
          <w:sz w:val="24"/>
          <w:szCs w:val="24"/>
          <w:lang w:eastAsia="ru-RU"/>
        </w:rPr>
        <w:t> заполняется </w:t>
      </w:r>
      <w:r w:rsidRPr="000B130B">
        <w:rPr>
          <w:rFonts w:ascii="Arial" w:eastAsia="Times New Roman" w:hAnsi="Arial" w:cs="Arial"/>
          <w:b/>
          <w:bCs/>
          <w:color w:val="606160"/>
          <w:sz w:val="24"/>
          <w:szCs w:val="24"/>
          <w:lang w:eastAsia="ru-RU"/>
        </w:rPr>
        <w:t>только</w:t>
      </w:r>
      <w:r w:rsidRPr="000B130B">
        <w:rPr>
          <w:rFonts w:ascii="Arial" w:eastAsia="Times New Roman" w:hAnsi="Arial" w:cs="Arial"/>
          <w:color w:val="606160"/>
          <w:sz w:val="24"/>
          <w:szCs w:val="24"/>
          <w:lang w:eastAsia="ru-RU"/>
        </w:rPr>
        <w:t>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прилагается на      л.».</w:t>
      </w:r>
    </w:p>
    <w:p w:rsidR="000B130B" w:rsidRPr="000B130B" w:rsidRDefault="000B130B" w:rsidP="000B130B">
      <w:pPr>
        <w:numPr>
          <w:ilvl w:val="0"/>
          <w:numId w:val="40"/>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Для счетов в иностранной валюте сумма указывается в рублях по курсу Банка России на отчетную дату.</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Ликвидация кредитной организации</w:t>
      </w:r>
    </w:p>
    <w:p w:rsidR="000B130B" w:rsidRPr="000B130B" w:rsidRDefault="000B130B" w:rsidP="000B130B">
      <w:pPr>
        <w:numPr>
          <w:ilvl w:val="0"/>
          <w:numId w:val="4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0B130B" w:rsidRPr="000B130B" w:rsidRDefault="000B130B" w:rsidP="000B130B">
      <w:pPr>
        <w:numPr>
          <w:ilvl w:val="0"/>
          <w:numId w:val="4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0B130B" w:rsidRPr="000B130B" w:rsidRDefault="000B130B" w:rsidP="000B130B">
      <w:pPr>
        <w:numPr>
          <w:ilvl w:val="0"/>
          <w:numId w:val="41"/>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данном разделе </w:t>
      </w:r>
      <w:r w:rsidRPr="000B130B">
        <w:rPr>
          <w:rFonts w:ascii="Arial" w:eastAsia="Times New Roman" w:hAnsi="Arial" w:cs="Arial"/>
          <w:b/>
          <w:bCs/>
          <w:color w:val="606160"/>
          <w:sz w:val="24"/>
          <w:szCs w:val="24"/>
          <w:lang w:eastAsia="ru-RU"/>
        </w:rPr>
        <w:t>не указываются счета</w:t>
      </w:r>
      <w:r w:rsidRPr="000B130B">
        <w:rPr>
          <w:rFonts w:ascii="Arial" w:eastAsia="Times New Roman" w:hAnsi="Arial" w:cs="Arial"/>
          <w:color w:val="606160"/>
          <w:sz w:val="24"/>
          <w:szCs w:val="24"/>
          <w:lang w:eastAsia="ru-RU"/>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sidRPr="000B130B">
        <w:rPr>
          <w:rFonts w:ascii="Arial" w:eastAsia="Times New Roman" w:hAnsi="Arial" w:cs="Arial"/>
          <w:color w:val="606160"/>
          <w:sz w:val="24"/>
          <w:szCs w:val="24"/>
          <w:lang w:eastAsia="ru-RU"/>
        </w:rPr>
        <w:t>софинансирования</w:t>
      </w:r>
      <w:proofErr w:type="spellEnd"/>
      <w:r w:rsidRPr="000B130B">
        <w:rPr>
          <w:rFonts w:ascii="Arial" w:eastAsia="Times New Roman" w:hAnsi="Arial" w:cs="Arial"/>
          <w:color w:val="606160"/>
          <w:sz w:val="24"/>
          <w:szCs w:val="24"/>
          <w:lang w:eastAsia="ru-RU"/>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rsidRPr="000B130B">
        <w:rPr>
          <w:rFonts w:ascii="Arial" w:eastAsia="Times New Roman" w:hAnsi="Arial" w:cs="Arial"/>
          <w:color w:val="606160"/>
          <w:sz w:val="24"/>
          <w:szCs w:val="24"/>
          <w:lang w:eastAsia="ru-RU"/>
        </w:rPr>
        <w:t>Qiwi</w:t>
      </w:r>
      <w:proofErr w:type="spellEnd"/>
      <w:r w:rsidRPr="000B130B">
        <w:rPr>
          <w:rFonts w:ascii="Arial" w:eastAsia="Times New Roman" w:hAnsi="Arial" w:cs="Arial"/>
          <w:color w:val="606160"/>
          <w:sz w:val="24"/>
          <w:szCs w:val="24"/>
          <w:lang w:eastAsia="ru-RU"/>
        </w:rPr>
        <w:t xml:space="preserve"> кошелек» и др.</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РАЗДЕЛ 5. СВЕДЕНИЯ О ЦЕННЫХ БУМАГАХ</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w:t>
      </w:r>
    </w:p>
    <w:p w:rsidR="000B130B" w:rsidRPr="000B130B" w:rsidRDefault="000B130B" w:rsidP="000B130B">
      <w:pPr>
        <w:numPr>
          <w:ilvl w:val="0"/>
          <w:numId w:val="42"/>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lastRenderedPageBreak/>
        <w:t>В данном разделе указываются сведения об имеющихся ценных бумагах.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Подраздел 5.1. Акции и иное участие в коммерческих организациях и фондах</w:t>
      </w:r>
    </w:p>
    <w:p w:rsidR="000B130B" w:rsidRPr="000B130B" w:rsidRDefault="000B130B" w:rsidP="000B130B">
      <w:pPr>
        <w:numPr>
          <w:ilvl w:val="0"/>
          <w:numId w:val="43"/>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B130B" w:rsidRPr="000B130B" w:rsidRDefault="000B130B" w:rsidP="000B130B">
      <w:pPr>
        <w:numPr>
          <w:ilvl w:val="0"/>
          <w:numId w:val="43"/>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графе «</w:t>
      </w:r>
      <w:r w:rsidRPr="000B130B">
        <w:rPr>
          <w:rFonts w:ascii="Arial" w:eastAsia="Times New Roman" w:hAnsi="Arial" w:cs="Arial"/>
          <w:b/>
          <w:bCs/>
          <w:color w:val="606160"/>
          <w:sz w:val="24"/>
          <w:szCs w:val="24"/>
          <w:lang w:eastAsia="ru-RU"/>
        </w:rPr>
        <w:t>Наименование и организационно-правовая форма организации</w:t>
      </w:r>
      <w:r w:rsidRPr="000B130B">
        <w:rPr>
          <w:rFonts w:ascii="Arial" w:eastAsia="Times New Roman" w:hAnsi="Arial" w:cs="Arial"/>
          <w:color w:val="606160"/>
          <w:sz w:val="24"/>
          <w:szCs w:val="24"/>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B130B" w:rsidRPr="000B130B" w:rsidRDefault="000B130B" w:rsidP="000B130B">
      <w:pPr>
        <w:numPr>
          <w:ilvl w:val="0"/>
          <w:numId w:val="43"/>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Уставный капитал</w:t>
      </w:r>
      <w:r w:rsidRPr="000B130B">
        <w:rPr>
          <w:rFonts w:ascii="Arial" w:eastAsia="Times New Roman" w:hAnsi="Arial" w:cs="Arial"/>
          <w:color w:val="606160"/>
          <w:sz w:val="24"/>
          <w:szCs w:val="24"/>
          <w:lang w:eastAsia="ru-RU"/>
        </w:rPr>
        <w:t>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8" w:history="1">
        <w:r w:rsidRPr="000B130B">
          <w:rPr>
            <w:rFonts w:ascii="Arial" w:eastAsia="Times New Roman" w:hAnsi="Arial" w:cs="Arial"/>
            <w:color w:val="4C6691"/>
            <w:sz w:val="24"/>
            <w:szCs w:val="24"/>
            <w:u w:val="single"/>
            <w:lang w:eastAsia="ru-RU"/>
          </w:rPr>
          <w:t>http://www.cbr.ru/currency_base/daily.aspx</w:t>
        </w:r>
      </w:hyperlink>
      <w:r w:rsidRPr="000B130B">
        <w:rPr>
          <w:rFonts w:ascii="Arial" w:eastAsia="Times New Roman" w:hAnsi="Arial" w:cs="Arial"/>
          <w:color w:val="606160"/>
          <w:sz w:val="24"/>
          <w:szCs w:val="24"/>
          <w:lang w:eastAsia="ru-RU"/>
        </w:rPr>
        <w:t>.</w:t>
      </w:r>
    </w:p>
    <w:p w:rsidR="000B130B" w:rsidRPr="000B130B" w:rsidRDefault="000B130B" w:rsidP="000B130B">
      <w:pPr>
        <w:numPr>
          <w:ilvl w:val="0"/>
          <w:numId w:val="43"/>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Доля участия</w:t>
      </w:r>
      <w:r w:rsidRPr="000B130B">
        <w:rPr>
          <w:rFonts w:ascii="Arial" w:eastAsia="Times New Roman" w:hAnsi="Arial" w:cs="Arial"/>
          <w:b/>
          <w:bCs/>
          <w:i/>
          <w:iCs/>
          <w:color w:val="606160"/>
          <w:sz w:val="24"/>
          <w:szCs w:val="24"/>
          <w:lang w:eastAsia="ru-RU"/>
        </w:rPr>
        <w:t> </w:t>
      </w:r>
      <w:r w:rsidRPr="000B130B">
        <w:rPr>
          <w:rFonts w:ascii="Arial" w:eastAsia="Times New Roman" w:hAnsi="Arial" w:cs="Arial"/>
          <w:color w:val="606160"/>
          <w:sz w:val="24"/>
          <w:szCs w:val="24"/>
          <w:lang w:eastAsia="ru-RU"/>
        </w:rPr>
        <w:t>выражается в процентах от уставного капитала. Для акционерных обществ указываются также номинальная стоимость и количество акций.</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Подраздел 5.2. Иные ценные бумаги</w:t>
      </w:r>
    </w:p>
    <w:p w:rsidR="000B130B" w:rsidRPr="000B130B" w:rsidRDefault="000B130B" w:rsidP="000B130B">
      <w:pPr>
        <w:numPr>
          <w:ilvl w:val="0"/>
          <w:numId w:val="44"/>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B130B" w:rsidRPr="000B130B" w:rsidRDefault="000B130B" w:rsidP="000B130B">
      <w:pPr>
        <w:numPr>
          <w:ilvl w:val="0"/>
          <w:numId w:val="44"/>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подразделе 5.2 указываются все ценные бумаги по видам (облигации, векселя и другие), за исключением акций, указанных в подразделе 5.1.</w:t>
      </w:r>
    </w:p>
    <w:p w:rsidR="000B130B" w:rsidRPr="000B130B" w:rsidRDefault="000B130B" w:rsidP="000B130B">
      <w:pPr>
        <w:numPr>
          <w:ilvl w:val="0"/>
          <w:numId w:val="44"/>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графе «</w:t>
      </w:r>
      <w:r w:rsidRPr="000B130B">
        <w:rPr>
          <w:rFonts w:ascii="Arial" w:eastAsia="Times New Roman" w:hAnsi="Arial" w:cs="Arial"/>
          <w:b/>
          <w:bCs/>
          <w:color w:val="606160"/>
          <w:sz w:val="24"/>
          <w:szCs w:val="24"/>
          <w:lang w:eastAsia="ru-RU"/>
        </w:rPr>
        <w:t>Общая стоимость</w:t>
      </w:r>
      <w:r w:rsidRPr="000B130B">
        <w:rPr>
          <w:rFonts w:ascii="Arial" w:eastAsia="Times New Roman" w:hAnsi="Arial" w:cs="Arial"/>
          <w:color w:val="606160"/>
          <w:sz w:val="24"/>
          <w:szCs w:val="24"/>
          <w:lang w:eastAsia="ru-RU"/>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9" w:history="1">
        <w:r w:rsidRPr="000B130B">
          <w:rPr>
            <w:rFonts w:ascii="Arial" w:eastAsia="Times New Roman" w:hAnsi="Arial" w:cs="Arial"/>
            <w:color w:val="4C6691"/>
            <w:sz w:val="24"/>
            <w:szCs w:val="24"/>
            <w:u w:val="single"/>
            <w:lang w:eastAsia="ru-RU"/>
          </w:rPr>
          <w:t>http://www.cbr.ru/currency_base/daily.aspx</w:t>
        </w:r>
      </w:hyperlink>
      <w:r w:rsidRPr="000B130B">
        <w:rPr>
          <w:rFonts w:ascii="Arial" w:eastAsia="Times New Roman" w:hAnsi="Arial" w:cs="Arial"/>
          <w:color w:val="606160"/>
          <w:sz w:val="24"/>
          <w:szCs w:val="24"/>
          <w:lang w:eastAsia="ru-RU"/>
        </w:rPr>
        <w:t>.</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br/>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РАЗДЕЛ 6. СВЕДЕНИЯ ОБ ОБЯЗАТЕЛЬСТВАХ ИМУЩЕСТВЕННОГО ХАРАКТЕРА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Подраздел 6.1. Объекты недвижимого имущества, находящиеся в пользовании</w:t>
      </w:r>
    </w:p>
    <w:p w:rsidR="000B130B" w:rsidRPr="000B130B" w:rsidRDefault="000B130B" w:rsidP="000B130B">
      <w:pPr>
        <w:numPr>
          <w:ilvl w:val="0"/>
          <w:numId w:val="45"/>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lastRenderedPageBreak/>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том числе указанию подлежат сведения: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о квартирах, занимаемых по договору аренды (найма, поднайма) жилого помещения;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о квартирах, занимаемых по договорам социального найма.</w:t>
      </w:r>
    </w:p>
    <w:p w:rsidR="000B130B" w:rsidRPr="000B130B" w:rsidRDefault="000B130B" w:rsidP="000B130B">
      <w:pPr>
        <w:numPr>
          <w:ilvl w:val="0"/>
          <w:numId w:val="4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При этом указывается общая площадь объекта недвижимого имущества, находящегося в пользовании.</w:t>
      </w:r>
    </w:p>
    <w:p w:rsidR="000B130B" w:rsidRPr="000B130B" w:rsidRDefault="000B130B" w:rsidP="000B130B">
      <w:pPr>
        <w:numPr>
          <w:ilvl w:val="0"/>
          <w:numId w:val="4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Сведения об объектах недвижимого имущества, находящихся в пользовании, указываются по состоянию на отчетную дату.</w:t>
      </w:r>
    </w:p>
    <w:p w:rsidR="000B130B" w:rsidRPr="000B130B" w:rsidRDefault="000B130B" w:rsidP="000B130B">
      <w:pPr>
        <w:numPr>
          <w:ilvl w:val="0"/>
          <w:numId w:val="4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B130B" w:rsidRPr="000B130B" w:rsidRDefault="000B130B" w:rsidP="000B130B">
      <w:pPr>
        <w:numPr>
          <w:ilvl w:val="0"/>
          <w:numId w:val="4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графе «</w:t>
      </w:r>
      <w:r w:rsidRPr="000B130B">
        <w:rPr>
          <w:rFonts w:ascii="Arial" w:eastAsia="Times New Roman" w:hAnsi="Arial" w:cs="Arial"/>
          <w:b/>
          <w:bCs/>
          <w:color w:val="606160"/>
          <w:sz w:val="24"/>
          <w:szCs w:val="24"/>
          <w:lang w:eastAsia="ru-RU"/>
        </w:rPr>
        <w:t>Вид имущества</w:t>
      </w:r>
      <w:r w:rsidRPr="000B130B">
        <w:rPr>
          <w:rFonts w:ascii="Arial" w:eastAsia="Times New Roman" w:hAnsi="Arial" w:cs="Arial"/>
          <w:color w:val="606160"/>
          <w:sz w:val="24"/>
          <w:szCs w:val="24"/>
          <w:lang w:eastAsia="ru-RU"/>
        </w:rPr>
        <w:t>» указывается вид недвижимого имущества (земельный участок, жилой дом, дача, квартира и другие).</w:t>
      </w:r>
    </w:p>
    <w:p w:rsidR="000B130B" w:rsidRPr="000B130B" w:rsidRDefault="000B130B" w:rsidP="000B130B">
      <w:pPr>
        <w:numPr>
          <w:ilvl w:val="0"/>
          <w:numId w:val="4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графе «</w:t>
      </w:r>
      <w:r w:rsidRPr="000B130B">
        <w:rPr>
          <w:rFonts w:ascii="Arial" w:eastAsia="Times New Roman" w:hAnsi="Arial" w:cs="Arial"/>
          <w:b/>
          <w:bCs/>
          <w:color w:val="606160"/>
          <w:sz w:val="24"/>
          <w:szCs w:val="24"/>
          <w:lang w:eastAsia="ru-RU"/>
        </w:rPr>
        <w:t>Вид и сроки пользования</w:t>
      </w:r>
      <w:r w:rsidRPr="000B130B">
        <w:rPr>
          <w:rFonts w:ascii="Arial" w:eastAsia="Times New Roman" w:hAnsi="Arial" w:cs="Arial"/>
          <w:color w:val="606160"/>
          <w:sz w:val="24"/>
          <w:szCs w:val="24"/>
          <w:lang w:eastAsia="ru-RU"/>
        </w:rPr>
        <w:t>» указываются вид пользования (аренда, безвозмездное пользование и другие) и сроки пользования.</w:t>
      </w:r>
    </w:p>
    <w:p w:rsidR="000B130B" w:rsidRPr="000B130B" w:rsidRDefault="000B130B" w:rsidP="000B130B">
      <w:pPr>
        <w:numPr>
          <w:ilvl w:val="0"/>
          <w:numId w:val="4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графе «</w:t>
      </w:r>
      <w:r w:rsidRPr="000B130B">
        <w:rPr>
          <w:rFonts w:ascii="Arial" w:eastAsia="Times New Roman" w:hAnsi="Arial" w:cs="Arial"/>
          <w:b/>
          <w:bCs/>
          <w:color w:val="606160"/>
          <w:sz w:val="24"/>
          <w:szCs w:val="24"/>
          <w:lang w:eastAsia="ru-RU"/>
        </w:rPr>
        <w:t>Основание пользования</w:t>
      </w:r>
      <w:r w:rsidRPr="000B130B">
        <w:rPr>
          <w:rFonts w:ascii="Arial" w:eastAsia="Times New Roman" w:hAnsi="Arial" w:cs="Arial"/>
          <w:color w:val="606160"/>
          <w:sz w:val="24"/>
          <w:szCs w:val="24"/>
          <w:lang w:eastAsia="ru-RU"/>
        </w:rPr>
        <w:t>» указываются основание пользования (договор, фактическое и другие), а также реквизиты (дата, номер) соответствующего договора или акта.</w:t>
      </w:r>
    </w:p>
    <w:p w:rsidR="000B130B" w:rsidRPr="000B130B" w:rsidRDefault="000B130B" w:rsidP="000B130B">
      <w:pPr>
        <w:numPr>
          <w:ilvl w:val="0"/>
          <w:numId w:val="4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данном подразделе </w:t>
      </w:r>
      <w:r w:rsidRPr="000B130B">
        <w:rPr>
          <w:rFonts w:ascii="Arial" w:eastAsia="Times New Roman" w:hAnsi="Arial" w:cs="Arial"/>
          <w:b/>
          <w:bCs/>
          <w:color w:val="606160"/>
          <w:sz w:val="24"/>
          <w:szCs w:val="24"/>
          <w:lang w:eastAsia="ru-RU"/>
        </w:rPr>
        <w:t>не указывается</w:t>
      </w:r>
      <w:r w:rsidRPr="000B130B">
        <w:rPr>
          <w:rFonts w:ascii="Arial" w:eastAsia="Times New Roman" w:hAnsi="Arial" w:cs="Arial"/>
          <w:color w:val="606160"/>
          <w:sz w:val="24"/>
          <w:szCs w:val="24"/>
          <w:lang w:eastAsia="ru-RU"/>
        </w:rPr>
        <w:t> недвижимое имущество, которое находится в собственности и уже отражено в подразделе 3.1 справки.</w:t>
      </w:r>
    </w:p>
    <w:p w:rsidR="000B130B" w:rsidRPr="000B130B" w:rsidRDefault="000B130B" w:rsidP="000B130B">
      <w:pPr>
        <w:numPr>
          <w:ilvl w:val="0"/>
          <w:numId w:val="46"/>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w:t>
      </w:r>
      <w:proofErr w:type="gramStart"/>
      <w:r w:rsidRPr="000B130B">
        <w:rPr>
          <w:rFonts w:ascii="Arial" w:eastAsia="Times New Roman" w:hAnsi="Arial" w:cs="Arial"/>
          <w:color w:val="606160"/>
          <w:sz w:val="24"/>
          <w:szCs w:val="24"/>
          <w:lang w:eastAsia="ru-RU"/>
        </w:rPr>
        <w:t>. не</w:t>
      </w:r>
      <w:proofErr w:type="gramEnd"/>
      <w:r w:rsidRPr="000B130B">
        <w:rPr>
          <w:rFonts w:ascii="Arial" w:eastAsia="Times New Roman" w:hAnsi="Arial" w:cs="Arial"/>
          <w:color w:val="606160"/>
          <w:sz w:val="24"/>
          <w:szCs w:val="24"/>
          <w:lang w:eastAsia="ru-RU"/>
        </w:rPr>
        <w:t xml:space="preserve"> вносятся. При этом данные доли собственности должны быть отражены в подразделе 3.1</w:t>
      </w:r>
      <w:proofErr w:type="gramStart"/>
      <w:r w:rsidRPr="000B130B">
        <w:rPr>
          <w:rFonts w:ascii="Arial" w:eastAsia="Times New Roman" w:hAnsi="Arial" w:cs="Arial"/>
          <w:color w:val="606160"/>
          <w:sz w:val="24"/>
          <w:szCs w:val="24"/>
          <w:lang w:eastAsia="ru-RU"/>
        </w:rPr>
        <w:t>. справок</w:t>
      </w:r>
      <w:proofErr w:type="gramEnd"/>
      <w:r w:rsidRPr="000B130B">
        <w:rPr>
          <w:rFonts w:ascii="Arial" w:eastAsia="Times New Roman" w:hAnsi="Arial" w:cs="Arial"/>
          <w:color w:val="606160"/>
          <w:sz w:val="24"/>
          <w:szCs w:val="24"/>
          <w:lang w:eastAsia="ru-RU"/>
        </w:rPr>
        <w:t xml:space="preserve"> служащего (работника) и его супруги.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Подраздел 6.2. Срочные обязательства финансового характера</w:t>
      </w:r>
    </w:p>
    <w:p w:rsidR="000B130B" w:rsidRPr="000B130B" w:rsidRDefault="000B130B" w:rsidP="000B130B">
      <w:pPr>
        <w:numPr>
          <w:ilvl w:val="0"/>
          <w:numId w:val="47"/>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данном подразделе указывается каждое имеющиеся на отчетную дату срочное обязательство финансового характера на сумму, </w:t>
      </w:r>
      <w:r w:rsidRPr="000B130B">
        <w:rPr>
          <w:rFonts w:ascii="Arial" w:eastAsia="Times New Roman" w:hAnsi="Arial" w:cs="Arial"/>
          <w:b/>
          <w:bCs/>
          <w:color w:val="606160"/>
          <w:sz w:val="24"/>
          <w:szCs w:val="24"/>
          <w:lang w:eastAsia="ru-RU"/>
        </w:rPr>
        <w:t>равную или превышающую</w:t>
      </w:r>
      <w:r w:rsidRPr="000B130B">
        <w:rPr>
          <w:rFonts w:ascii="Arial" w:eastAsia="Times New Roman" w:hAnsi="Arial" w:cs="Arial"/>
          <w:color w:val="606160"/>
          <w:sz w:val="24"/>
          <w:szCs w:val="24"/>
          <w:lang w:eastAsia="ru-RU"/>
        </w:rPr>
        <w:t> 500 000 рублей, кредитором или должником по которым является служащий (работник), его супруга (супруг), несовершеннолетний ребенок.</w:t>
      </w:r>
    </w:p>
    <w:p w:rsidR="000B130B" w:rsidRPr="000B130B" w:rsidRDefault="000B130B" w:rsidP="000B130B">
      <w:pPr>
        <w:numPr>
          <w:ilvl w:val="0"/>
          <w:numId w:val="47"/>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графе «</w:t>
      </w:r>
      <w:r w:rsidRPr="000B130B">
        <w:rPr>
          <w:rFonts w:ascii="Arial" w:eastAsia="Times New Roman" w:hAnsi="Arial" w:cs="Arial"/>
          <w:b/>
          <w:bCs/>
          <w:color w:val="606160"/>
          <w:sz w:val="24"/>
          <w:szCs w:val="24"/>
          <w:lang w:eastAsia="ru-RU"/>
        </w:rPr>
        <w:t>Содержание обязательства</w:t>
      </w:r>
      <w:r w:rsidRPr="000B130B">
        <w:rPr>
          <w:rFonts w:ascii="Arial" w:eastAsia="Times New Roman" w:hAnsi="Arial" w:cs="Arial"/>
          <w:color w:val="606160"/>
          <w:sz w:val="24"/>
          <w:szCs w:val="24"/>
          <w:lang w:eastAsia="ru-RU"/>
        </w:rPr>
        <w:t>» указывается существо обязательства (заем, кредит и другие).</w:t>
      </w:r>
    </w:p>
    <w:p w:rsidR="000B130B" w:rsidRPr="000B130B" w:rsidRDefault="000B130B" w:rsidP="000B130B">
      <w:pPr>
        <w:numPr>
          <w:ilvl w:val="0"/>
          <w:numId w:val="47"/>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lastRenderedPageBreak/>
        <w:t>В графе «</w:t>
      </w:r>
      <w:r w:rsidRPr="000B130B">
        <w:rPr>
          <w:rFonts w:ascii="Arial" w:eastAsia="Times New Roman" w:hAnsi="Arial" w:cs="Arial"/>
          <w:b/>
          <w:bCs/>
          <w:color w:val="606160"/>
          <w:sz w:val="24"/>
          <w:szCs w:val="24"/>
          <w:lang w:eastAsia="ru-RU"/>
        </w:rPr>
        <w:t>Кредитор (должник)</w:t>
      </w:r>
      <w:r w:rsidRPr="000B130B">
        <w:rPr>
          <w:rFonts w:ascii="Arial" w:eastAsia="Times New Roman" w:hAnsi="Arial" w:cs="Arial"/>
          <w:color w:val="606160"/>
          <w:sz w:val="24"/>
          <w:szCs w:val="24"/>
          <w:lang w:eastAsia="ru-RU"/>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Например,</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0B130B" w:rsidRPr="000B130B" w:rsidRDefault="000B130B" w:rsidP="000B130B">
      <w:pPr>
        <w:numPr>
          <w:ilvl w:val="0"/>
          <w:numId w:val="48"/>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графе «</w:t>
      </w:r>
      <w:r w:rsidRPr="000B130B">
        <w:rPr>
          <w:rFonts w:ascii="Arial" w:eastAsia="Times New Roman" w:hAnsi="Arial" w:cs="Arial"/>
          <w:b/>
          <w:bCs/>
          <w:color w:val="606160"/>
          <w:sz w:val="24"/>
          <w:szCs w:val="24"/>
          <w:lang w:eastAsia="ru-RU"/>
        </w:rPr>
        <w:t>Основание возникновения</w:t>
      </w:r>
      <w:r w:rsidRPr="000B130B">
        <w:rPr>
          <w:rFonts w:ascii="Arial" w:eastAsia="Times New Roman" w:hAnsi="Arial" w:cs="Arial"/>
          <w:color w:val="606160"/>
          <w:sz w:val="24"/>
          <w:szCs w:val="24"/>
          <w:lang w:eastAsia="ru-RU"/>
        </w:rPr>
        <w:t>» указываются основание возникновения обязательства, а также реквизиты (дата, номер) соответствующего договора или акта.</w:t>
      </w:r>
    </w:p>
    <w:p w:rsidR="000B130B" w:rsidRPr="000B130B" w:rsidRDefault="000B130B" w:rsidP="000B130B">
      <w:pPr>
        <w:numPr>
          <w:ilvl w:val="0"/>
          <w:numId w:val="48"/>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графе «</w:t>
      </w:r>
      <w:r w:rsidRPr="000B130B">
        <w:rPr>
          <w:rFonts w:ascii="Arial" w:eastAsia="Times New Roman" w:hAnsi="Arial" w:cs="Arial"/>
          <w:b/>
          <w:bCs/>
          <w:color w:val="606160"/>
          <w:sz w:val="24"/>
          <w:szCs w:val="24"/>
          <w:lang w:eastAsia="ru-RU"/>
        </w:rPr>
        <w:t>Сумма обязательства / размер обязательства по состоянию на отчетную дату</w:t>
      </w:r>
      <w:r w:rsidRPr="000B130B">
        <w:rPr>
          <w:rFonts w:ascii="Arial" w:eastAsia="Times New Roman" w:hAnsi="Arial" w:cs="Arial"/>
          <w:color w:val="606160"/>
          <w:sz w:val="24"/>
          <w:szCs w:val="24"/>
          <w:lang w:eastAsia="ru-RU"/>
        </w:rPr>
        <w:t>»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0" w:history="1">
        <w:r w:rsidRPr="000B130B">
          <w:rPr>
            <w:rFonts w:ascii="Arial" w:eastAsia="Times New Roman" w:hAnsi="Arial" w:cs="Arial"/>
            <w:color w:val="4C6691"/>
            <w:sz w:val="24"/>
            <w:szCs w:val="24"/>
            <w:u w:val="single"/>
            <w:lang w:eastAsia="ru-RU"/>
          </w:rPr>
          <w:t>http://www.cbr.ru/currency_base/daily.aspx</w:t>
        </w:r>
      </w:hyperlink>
      <w:r w:rsidRPr="000B130B">
        <w:rPr>
          <w:rFonts w:ascii="Arial" w:eastAsia="Times New Roman" w:hAnsi="Arial" w:cs="Arial"/>
          <w:color w:val="606160"/>
          <w:sz w:val="24"/>
          <w:szCs w:val="24"/>
          <w:lang w:eastAsia="ru-RU"/>
        </w:rPr>
        <w:t>.</w:t>
      </w:r>
    </w:p>
    <w:p w:rsidR="000B130B" w:rsidRPr="000B130B" w:rsidRDefault="000B130B" w:rsidP="000B130B">
      <w:pPr>
        <w:numPr>
          <w:ilvl w:val="0"/>
          <w:numId w:val="48"/>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В графе «</w:t>
      </w:r>
      <w:r w:rsidRPr="000B130B">
        <w:rPr>
          <w:rFonts w:ascii="Arial" w:eastAsia="Times New Roman" w:hAnsi="Arial" w:cs="Arial"/>
          <w:b/>
          <w:bCs/>
          <w:color w:val="606160"/>
          <w:sz w:val="24"/>
          <w:szCs w:val="24"/>
          <w:lang w:eastAsia="ru-RU"/>
        </w:rPr>
        <w:t>Условия обязательства</w:t>
      </w:r>
      <w:r w:rsidRPr="000B130B">
        <w:rPr>
          <w:rFonts w:ascii="Arial" w:eastAsia="Times New Roman" w:hAnsi="Arial" w:cs="Arial"/>
          <w:color w:val="606160"/>
          <w:sz w:val="24"/>
          <w:szCs w:val="24"/>
          <w:lang w:eastAsia="ru-RU"/>
        </w:rPr>
        <w:t>»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B130B" w:rsidRPr="000B130B" w:rsidRDefault="000B130B" w:rsidP="000B130B">
      <w:pPr>
        <w:numPr>
          <w:ilvl w:val="0"/>
          <w:numId w:val="48"/>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Помимо прочего подлежат указанию:</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договор финансовой аренды;</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в</w:t>
      </w:r>
      <w:proofErr w:type="gramEnd"/>
      <w:r w:rsidRPr="000B130B">
        <w:rPr>
          <w:rFonts w:ascii="Arial" w:eastAsia="Times New Roman" w:hAnsi="Arial" w:cs="Arial"/>
          <w:color w:val="606160"/>
          <w:sz w:val="24"/>
          <w:szCs w:val="24"/>
          <w:lang w:eastAsia="ru-RU"/>
        </w:rPr>
        <w:t>) договор займа;</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г</w:t>
      </w:r>
      <w:proofErr w:type="gramEnd"/>
      <w:r w:rsidRPr="000B130B">
        <w:rPr>
          <w:rFonts w:ascii="Arial" w:eastAsia="Times New Roman" w:hAnsi="Arial" w:cs="Arial"/>
          <w:color w:val="606160"/>
          <w:sz w:val="24"/>
          <w:szCs w:val="24"/>
          <w:lang w:eastAsia="ru-RU"/>
        </w:rPr>
        <w:t>) договор финансирования под уступку денежного требования;</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д</w:t>
      </w:r>
      <w:proofErr w:type="gramEnd"/>
      <w:r w:rsidRPr="000B130B">
        <w:rPr>
          <w:rFonts w:ascii="Arial" w:eastAsia="Times New Roman" w:hAnsi="Arial" w:cs="Arial"/>
          <w:color w:val="606160"/>
          <w:sz w:val="24"/>
          <w:szCs w:val="24"/>
          <w:lang w:eastAsia="ru-RU"/>
        </w:rPr>
        <w:t>) обязательство вследствие причинения вреда (финансовые) и т.д.</w:t>
      </w:r>
    </w:p>
    <w:p w:rsidR="000B130B" w:rsidRPr="000B130B" w:rsidRDefault="000B130B" w:rsidP="000B130B">
      <w:pPr>
        <w:numPr>
          <w:ilvl w:val="0"/>
          <w:numId w:val="49"/>
        </w:numPr>
        <w:spacing w:before="100" w:beforeAutospacing="1" w:after="100" w:afterAutospacing="1" w:line="240" w:lineRule="auto"/>
        <w:ind w:left="0"/>
        <w:jc w:val="both"/>
        <w:rPr>
          <w:rFonts w:ascii="Arial" w:eastAsia="Times New Roman" w:hAnsi="Arial" w:cs="Arial"/>
          <w:color w:val="606160"/>
          <w:sz w:val="24"/>
          <w:szCs w:val="24"/>
          <w:lang w:eastAsia="ru-RU"/>
        </w:rPr>
      </w:pPr>
      <w:r w:rsidRPr="000B130B">
        <w:rPr>
          <w:rFonts w:ascii="Arial" w:eastAsia="Times New Roman" w:hAnsi="Arial" w:cs="Arial"/>
          <w:b/>
          <w:bCs/>
          <w:color w:val="606160"/>
          <w:sz w:val="24"/>
          <w:szCs w:val="24"/>
          <w:lang w:eastAsia="ru-RU"/>
        </w:rPr>
        <w:t>Отдельные виды срочных обязательств финансового характера</w:t>
      </w:r>
      <w:r w:rsidRPr="000B130B">
        <w:rPr>
          <w:rFonts w:ascii="Arial" w:eastAsia="Times New Roman" w:hAnsi="Arial" w:cs="Arial"/>
          <w:color w:val="606160"/>
          <w:sz w:val="24"/>
          <w:szCs w:val="24"/>
          <w:lang w:eastAsia="ru-RU"/>
        </w:rPr>
        <w:t>:</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а</w:t>
      </w:r>
      <w:proofErr w:type="gramEnd"/>
      <w:r w:rsidRPr="000B130B">
        <w:rPr>
          <w:rFonts w:ascii="Arial" w:eastAsia="Times New Roman" w:hAnsi="Arial" w:cs="Arial"/>
          <w:color w:val="606160"/>
          <w:sz w:val="24"/>
          <w:szCs w:val="24"/>
          <w:lang w:eastAsia="ru-RU"/>
        </w:rPr>
        <w:t>) участие в долевом строительстве</w:t>
      </w:r>
      <w:r w:rsidRPr="000B130B">
        <w:rPr>
          <w:rFonts w:ascii="Arial" w:eastAsia="Times New Roman" w:hAnsi="Arial" w:cs="Arial"/>
          <w:b/>
          <w:bCs/>
          <w:i/>
          <w:iCs/>
          <w:color w:val="606160"/>
          <w:sz w:val="24"/>
          <w:szCs w:val="24"/>
          <w:lang w:eastAsia="ru-RU"/>
        </w:rPr>
        <w:t> </w:t>
      </w:r>
      <w:r w:rsidRPr="000B130B">
        <w:rPr>
          <w:rFonts w:ascii="Arial" w:eastAsia="Times New Roman" w:hAnsi="Arial" w:cs="Arial"/>
          <w:color w:val="606160"/>
          <w:sz w:val="24"/>
          <w:szCs w:val="24"/>
          <w:lang w:eastAsia="ru-RU"/>
        </w:rPr>
        <w:t>объекта недвижимости.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w:t>
      </w:r>
      <w:r w:rsidRPr="000B130B">
        <w:rPr>
          <w:rFonts w:ascii="Arial" w:eastAsia="Times New Roman" w:hAnsi="Arial" w:cs="Arial"/>
          <w:color w:val="606160"/>
          <w:sz w:val="24"/>
          <w:szCs w:val="24"/>
          <w:lang w:eastAsia="ru-RU"/>
        </w:rPr>
        <w:lastRenderedPageBreak/>
        <w:t>этом не имеет значения, оформлялся ли кредитный договор с банком или иной кредитной организацией для оплаты по указанному договору.</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proofErr w:type="gramStart"/>
      <w:r w:rsidRPr="000B130B">
        <w:rPr>
          <w:rFonts w:ascii="Arial" w:eastAsia="Times New Roman" w:hAnsi="Arial" w:cs="Arial"/>
          <w:color w:val="606160"/>
          <w:sz w:val="24"/>
          <w:szCs w:val="24"/>
          <w:lang w:eastAsia="ru-RU"/>
        </w:rPr>
        <w:t>б</w:t>
      </w:r>
      <w:proofErr w:type="gramEnd"/>
      <w:r w:rsidRPr="000B130B">
        <w:rPr>
          <w:rFonts w:ascii="Arial" w:eastAsia="Times New Roman" w:hAnsi="Arial" w:cs="Arial"/>
          <w:color w:val="606160"/>
          <w:sz w:val="24"/>
          <w:szCs w:val="24"/>
          <w:lang w:eastAsia="ru-RU"/>
        </w:rPr>
        <w:t>) обязательства по ипотеке в случае разделения суммы кредита между супругами.</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B130B" w:rsidRPr="000B130B" w:rsidRDefault="000B130B" w:rsidP="000B130B">
      <w:pPr>
        <w:spacing w:before="225" w:after="0" w:line="240" w:lineRule="auto"/>
        <w:jc w:val="both"/>
        <w:rPr>
          <w:rFonts w:ascii="Arial" w:eastAsia="Times New Roman" w:hAnsi="Arial" w:cs="Arial"/>
          <w:color w:val="606160"/>
          <w:sz w:val="24"/>
          <w:szCs w:val="24"/>
          <w:lang w:eastAsia="ru-RU"/>
        </w:rPr>
      </w:pPr>
      <w:r w:rsidRPr="000B130B">
        <w:rPr>
          <w:rFonts w:ascii="Arial" w:eastAsia="Times New Roman" w:hAnsi="Arial" w:cs="Arial"/>
          <w:color w:val="606160"/>
          <w:sz w:val="24"/>
          <w:szCs w:val="24"/>
          <w:lang w:eastAsia="ru-RU"/>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B130B">
        <w:rPr>
          <w:rFonts w:ascii="Arial" w:eastAsia="Times New Roman" w:hAnsi="Arial" w:cs="Arial"/>
          <w:color w:val="606160"/>
          <w:sz w:val="24"/>
          <w:szCs w:val="24"/>
          <w:lang w:eastAsia="ru-RU"/>
        </w:rPr>
        <w:t>созаемщиками</w:t>
      </w:r>
      <w:proofErr w:type="spellEnd"/>
      <w:r w:rsidRPr="000B130B">
        <w:rPr>
          <w:rFonts w:ascii="Arial" w:eastAsia="Times New Roman" w:hAnsi="Arial" w:cs="Arial"/>
          <w:color w:val="606160"/>
          <w:sz w:val="24"/>
          <w:szCs w:val="24"/>
          <w:lang w:eastAsia="ru-RU"/>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B130B">
        <w:rPr>
          <w:rFonts w:ascii="Arial" w:eastAsia="Times New Roman" w:hAnsi="Arial" w:cs="Arial"/>
          <w:color w:val="606160"/>
          <w:sz w:val="24"/>
          <w:szCs w:val="24"/>
          <w:lang w:eastAsia="ru-RU"/>
        </w:rPr>
        <w:t>созаемщиков</w:t>
      </w:r>
      <w:proofErr w:type="spellEnd"/>
      <w:r w:rsidRPr="000B130B">
        <w:rPr>
          <w:rFonts w:ascii="Arial" w:eastAsia="Times New Roman" w:hAnsi="Arial" w:cs="Arial"/>
          <w:color w:val="606160"/>
          <w:sz w:val="24"/>
          <w:szCs w:val="24"/>
          <w:lang w:eastAsia="ru-RU"/>
        </w:rPr>
        <w:t>.</w:t>
      </w:r>
    </w:p>
    <w:p w:rsidR="00C365F8" w:rsidRDefault="00C365F8"/>
    <w:sectPr w:rsidR="00C36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30AB"/>
    <w:multiLevelType w:val="multilevel"/>
    <w:tmpl w:val="BD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44868"/>
    <w:multiLevelType w:val="multilevel"/>
    <w:tmpl w:val="1B200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A05AC"/>
    <w:multiLevelType w:val="multilevel"/>
    <w:tmpl w:val="7B9E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E48FD"/>
    <w:multiLevelType w:val="multilevel"/>
    <w:tmpl w:val="B3A6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56B61"/>
    <w:multiLevelType w:val="multilevel"/>
    <w:tmpl w:val="6DD4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153F1"/>
    <w:multiLevelType w:val="multilevel"/>
    <w:tmpl w:val="37D44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E23261"/>
    <w:multiLevelType w:val="multilevel"/>
    <w:tmpl w:val="E672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D0127"/>
    <w:multiLevelType w:val="multilevel"/>
    <w:tmpl w:val="BE6A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7599F"/>
    <w:multiLevelType w:val="multilevel"/>
    <w:tmpl w:val="FC58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40114C"/>
    <w:multiLevelType w:val="multilevel"/>
    <w:tmpl w:val="7E44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C9172D"/>
    <w:multiLevelType w:val="multilevel"/>
    <w:tmpl w:val="A65E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E5475"/>
    <w:multiLevelType w:val="multilevel"/>
    <w:tmpl w:val="CDBE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AC4A86"/>
    <w:multiLevelType w:val="multilevel"/>
    <w:tmpl w:val="65FC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3B3622"/>
    <w:multiLevelType w:val="multilevel"/>
    <w:tmpl w:val="0ED8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431742"/>
    <w:multiLevelType w:val="multilevel"/>
    <w:tmpl w:val="ED32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7F576E"/>
    <w:multiLevelType w:val="multilevel"/>
    <w:tmpl w:val="DF2E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E22206"/>
    <w:multiLevelType w:val="multilevel"/>
    <w:tmpl w:val="0AE6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D61926"/>
    <w:multiLevelType w:val="multilevel"/>
    <w:tmpl w:val="E892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CF6F2F"/>
    <w:multiLevelType w:val="multilevel"/>
    <w:tmpl w:val="58D0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F46389"/>
    <w:multiLevelType w:val="multilevel"/>
    <w:tmpl w:val="8BA4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1A19B0"/>
    <w:multiLevelType w:val="multilevel"/>
    <w:tmpl w:val="363E3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1923A6"/>
    <w:multiLevelType w:val="multilevel"/>
    <w:tmpl w:val="B56C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AB3CF0"/>
    <w:multiLevelType w:val="multilevel"/>
    <w:tmpl w:val="EA84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914073"/>
    <w:multiLevelType w:val="multilevel"/>
    <w:tmpl w:val="60784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D438EE"/>
    <w:multiLevelType w:val="multilevel"/>
    <w:tmpl w:val="A848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0B1261"/>
    <w:multiLevelType w:val="multilevel"/>
    <w:tmpl w:val="B0D8F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797321"/>
    <w:multiLevelType w:val="multilevel"/>
    <w:tmpl w:val="ED72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904F53"/>
    <w:multiLevelType w:val="multilevel"/>
    <w:tmpl w:val="BF8C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BB3FE9"/>
    <w:multiLevelType w:val="multilevel"/>
    <w:tmpl w:val="F8BA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3B189E"/>
    <w:multiLevelType w:val="multilevel"/>
    <w:tmpl w:val="4C7C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A4527A"/>
    <w:multiLevelType w:val="multilevel"/>
    <w:tmpl w:val="D602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E619FA"/>
    <w:multiLevelType w:val="multilevel"/>
    <w:tmpl w:val="637E5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EA22EA"/>
    <w:multiLevelType w:val="multilevel"/>
    <w:tmpl w:val="53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720AD1"/>
    <w:multiLevelType w:val="multilevel"/>
    <w:tmpl w:val="5124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916A85"/>
    <w:multiLevelType w:val="multilevel"/>
    <w:tmpl w:val="5700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767933"/>
    <w:multiLevelType w:val="multilevel"/>
    <w:tmpl w:val="BE14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374FB5"/>
    <w:multiLevelType w:val="multilevel"/>
    <w:tmpl w:val="4F44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8D03DF"/>
    <w:multiLevelType w:val="multilevel"/>
    <w:tmpl w:val="4708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2F5715"/>
    <w:multiLevelType w:val="multilevel"/>
    <w:tmpl w:val="F3C4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687B2B"/>
    <w:multiLevelType w:val="multilevel"/>
    <w:tmpl w:val="F378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740D69"/>
    <w:multiLevelType w:val="multilevel"/>
    <w:tmpl w:val="6C24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4B34DC"/>
    <w:multiLevelType w:val="multilevel"/>
    <w:tmpl w:val="14BA7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D0251C"/>
    <w:multiLevelType w:val="multilevel"/>
    <w:tmpl w:val="B990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DA7AC4"/>
    <w:multiLevelType w:val="multilevel"/>
    <w:tmpl w:val="E3BA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4E3C04"/>
    <w:multiLevelType w:val="multilevel"/>
    <w:tmpl w:val="33768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2A7437"/>
    <w:multiLevelType w:val="multilevel"/>
    <w:tmpl w:val="4914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B25B95"/>
    <w:multiLevelType w:val="multilevel"/>
    <w:tmpl w:val="67BC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B035F6"/>
    <w:multiLevelType w:val="multilevel"/>
    <w:tmpl w:val="CC2C4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390984"/>
    <w:multiLevelType w:val="multilevel"/>
    <w:tmpl w:val="65B2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1"/>
  </w:num>
  <w:num w:numId="3">
    <w:abstractNumId w:val="20"/>
  </w:num>
  <w:num w:numId="4">
    <w:abstractNumId w:val="18"/>
  </w:num>
  <w:num w:numId="5">
    <w:abstractNumId w:val="46"/>
  </w:num>
  <w:num w:numId="6">
    <w:abstractNumId w:val="15"/>
  </w:num>
  <w:num w:numId="7">
    <w:abstractNumId w:val="35"/>
  </w:num>
  <w:num w:numId="8">
    <w:abstractNumId w:val="21"/>
  </w:num>
  <w:num w:numId="9">
    <w:abstractNumId w:val="30"/>
  </w:num>
  <w:num w:numId="10">
    <w:abstractNumId w:val="32"/>
  </w:num>
  <w:num w:numId="11">
    <w:abstractNumId w:val="33"/>
  </w:num>
  <w:num w:numId="12">
    <w:abstractNumId w:val="45"/>
  </w:num>
  <w:num w:numId="13">
    <w:abstractNumId w:val="39"/>
  </w:num>
  <w:num w:numId="14">
    <w:abstractNumId w:val="22"/>
  </w:num>
  <w:num w:numId="15">
    <w:abstractNumId w:val="43"/>
  </w:num>
  <w:num w:numId="16">
    <w:abstractNumId w:val="26"/>
  </w:num>
  <w:num w:numId="17">
    <w:abstractNumId w:val="36"/>
  </w:num>
  <w:num w:numId="18">
    <w:abstractNumId w:val="6"/>
  </w:num>
  <w:num w:numId="19">
    <w:abstractNumId w:val="13"/>
  </w:num>
  <w:num w:numId="20">
    <w:abstractNumId w:val="11"/>
  </w:num>
  <w:num w:numId="21">
    <w:abstractNumId w:val="31"/>
  </w:num>
  <w:num w:numId="22">
    <w:abstractNumId w:val="5"/>
  </w:num>
  <w:num w:numId="23">
    <w:abstractNumId w:val="44"/>
  </w:num>
  <w:num w:numId="24">
    <w:abstractNumId w:val="38"/>
  </w:num>
  <w:num w:numId="25">
    <w:abstractNumId w:val="0"/>
  </w:num>
  <w:num w:numId="26">
    <w:abstractNumId w:val="3"/>
  </w:num>
  <w:num w:numId="27">
    <w:abstractNumId w:val="1"/>
  </w:num>
  <w:num w:numId="28">
    <w:abstractNumId w:val="42"/>
  </w:num>
  <w:num w:numId="29">
    <w:abstractNumId w:val="25"/>
  </w:num>
  <w:num w:numId="30">
    <w:abstractNumId w:val="23"/>
  </w:num>
  <w:num w:numId="31">
    <w:abstractNumId w:val="17"/>
  </w:num>
  <w:num w:numId="32">
    <w:abstractNumId w:val="40"/>
  </w:num>
  <w:num w:numId="33">
    <w:abstractNumId w:val="16"/>
  </w:num>
  <w:num w:numId="34">
    <w:abstractNumId w:val="27"/>
  </w:num>
  <w:num w:numId="35">
    <w:abstractNumId w:val="9"/>
  </w:num>
  <w:num w:numId="36">
    <w:abstractNumId w:val="24"/>
  </w:num>
  <w:num w:numId="37">
    <w:abstractNumId w:val="2"/>
  </w:num>
  <w:num w:numId="38">
    <w:abstractNumId w:val="14"/>
  </w:num>
  <w:num w:numId="39">
    <w:abstractNumId w:val="29"/>
  </w:num>
  <w:num w:numId="40">
    <w:abstractNumId w:val="12"/>
  </w:num>
  <w:num w:numId="41">
    <w:abstractNumId w:val="37"/>
  </w:num>
  <w:num w:numId="42">
    <w:abstractNumId w:val="4"/>
  </w:num>
  <w:num w:numId="43">
    <w:abstractNumId w:val="10"/>
  </w:num>
  <w:num w:numId="44">
    <w:abstractNumId w:val="48"/>
  </w:num>
  <w:num w:numId="45">
    <w:abstractNumId w:val="28"/>
  </w:num>
  <w:num w:numId="46">
    <w:abstractNumId w:val="19"/>
  </w:num>
  <w:num w:numId="47">
    <w:abstractNumId w:val="47"/>
  </w:num>
  <w:num w:numId="48">
    <w:abstractNumId w:val="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0B"/>
    <w:rsid w:val="000B130B"/>
    <w:rsid w:val="00B43665"/>
    <w:rsid w:val="00C3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37E3E-0CF2-4002-B003-15C32691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currency_base/daily.aspx" TargetMode="External"/><Relationship Id="rId3" Type="http://schemas.openxmlformats.org/officeDocument/2006/relationships/settings" Target="settings.xml"/><Relationship Id="rId7" Type="http://schemas.openxmlformats.org/officeDocument/2006/relationships/hyperlink" Target="http://www.cbr.ru/currency_base/dail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r.ru/hd_base/?PrtId=metall_base_new" TargetMode="External"/><Relationship Id="rId11" Type="http://schemas.openxmlformats.org/officeDocument/2006/relationships/fontTable" Target="fontTable.xml"/><Relationship Id="rId5" Type="http://schemas.openxmlformats.org/officeDocument/2006/relationships/hyperlink" Target="http://www.cbr.ru/currency_base/daily.aspx" TargetMode="External"/><Relationship Id="rId10"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10340</Words>
  <Characters>58943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2018-03-05T07:33:00Z</dcterms:created>
  <dcterms:modified xsi:type="dcterms:W3CDTF">2018-03-16T13:15:00Z</dcterms:modified>
</cp:coreProperties>
</file>