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jc w:val="center"/>
        <w:tblInd w:w="-135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26"/>
        <w:gridCol w:w="4817"/>
      </w:tblGrid>
      <w:tr w:rsidR="00A308BD" w:rsidRPr="0012522D" w:rsidTr="00A308BD">
        <w:trPr>
          <w:trHeight w:val="1556"/>
          <w:jc w:val="center"/>
        </w:trPr>
        <w:tc>
          <w:tcPr>
            <w:tcW w:w="49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12522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ИСПОЛНИТЕЛЬНО О КОМИТЕТА</w:t>
            </w:r>
          </w:p>
          <w:p w:rsidR="00A308BD" w:rsidRPr="0012522D" w:rsidRDefault="00A308BD" w:rsidP="00A308BD">
            <w:pPr>
              <w:spacing w:after="0" w:line="240" w:lineRule="auto"/>
              <w:ind w:left="426" w:right="467" w:hanging="14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МУНИЦИПАЛЬНОГО  ОБРАЗОВАНИЯ «ГОРОД БАВЛЫ»</w:t>
            </w:r>
          </w:p>
          <w:p w:rsidR="00A308BD" w:rsidRPr="0012522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  <w:p w:rsidR="00A308BD" w:rsidRPr="0012522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12522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308BD" w:rsidRPr="0012522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308BD" w:rsidRPr="0012522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РЕСПУБЛИКАСЫ</w:t>
            </w:r>
          </w:p>
          <w:p w:rsidR="00A308BD" w:rsidRPr="0012522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proofErr w:type="gramEnd"/>
            <w:r w:rsidRPr="0012522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ӘҺӘРЕ”</w:t>
            </w:r>
          </w:p>
          <w:p w:rsidR="00A308BD" w:rsidRPr="0012522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ИПАЛЬ  БЕРӘМЛЕГЕ</w:t>
            </w:r>
          </w:p>
          <w:p w:rsidR="00A308BD" w:rsidRPr="0012522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КОМИТЕТЫ</w:t>
            </w:r>
          </w:p>
        </w:tc>
      </w:tr>
    </w:tbl>
    <w:p w:rsidR="00A308BD" w:rsidRPr="0012522D" w:rsidRDefault="00A308BD" w:rsidP="00A308BD">
      <w:pPr>
        <w:spacing w:after="0" w:line="240" w:lineRule="auto"/>
        <w:ind w:left="851" w:right="707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12522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tbl>
      <w:tblPr>
        <w:tblW w:w="0" w:type="auto"/>
        <w:jc w:val="center"/>
        <w:tblInd w:w="-92" w:type="dxa"/>
        <w:tblLook w:val="01E0" w:firstRow="1" w:lastRow="1" w:firstColumn="1" w:lastColumn="1" w:noHBand="0" w:noVBand="0"/>
      </w:tblPr>
      <w:tblGrid>
        <w:gridCol w:w="3901"/>
        <w:gridCol w:w="2287"/>
        <w:gridCol w:w="4325"/>
      </w:tblGrid>
      <w:tr w:rsidR="00A308BD" w:rsidRPr="0012522D" w:rsidTr="007E5E29">
        <w:trPr>
          <w:jc w:val="center"/>
        </w:trPr>
        <w:tc>
          <w:tcPr>
            <w:tcW w:w="4382" w:type="dxa"/>
          </w:tcPr>
          <w:p w:rsidR="00A308BD" w:rsidRPr="0012522D" w:rsidRDefault="00A308BD" w:rsidP="0012522D">
            <w:pPr>
              <w:spacing w:after="0" w:line="240" w:lineRule="auto"/>
              <w:ind w:left="851" w:right="215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7" w:type="dxa"/>
          </w:tcPr>
          <w:p w:rsidR="00A308BD" w:rsidRPr="0012522D" w:rsidRDefault="00A308B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</w:tcPr>
          <w:p w:rsidR="00A308BD" w:rsidRPr="0012522D" w:rsidRDefault="00A308BD" w:rsidP="0012522D">
            <w:pPr>
              <w:spacing w:after="0" w:line="240" w:lineRule="auto"/>
              <w:ind w:left="851" w:right="707" w:hanging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81C65" w:rsidRPr="0012522D" w:rsidRDefault="00381C65" w:rsidP="00381C65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tabs>
          <w:tab w:val="left" w:pos="5387"/>
          <w:tab w:val="left" w:pos="5670"/>
        </w:tabs>
        <w:spacing w:after="0" w:line="240" w:lineRule="auto"/>
        <w:ind w:right="4535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Об утверждении Порядка формирования перечня налоговых расходов и оценки налоговых расходов муниципального образования «город Бавлы» в 2020 году</w:t>
      </w:r>
    </w:p>
    <w:p w:rsidR="00381C65" w:rsidRPr="0012522D" w:rsidRDefault="00381C65" w:rsidP="00381C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В соответствии со статьей 174</w:t>
      </w:r>
      <w:r w:rsidRPr="0012522D">
        <w:rPr>
          <w:rFonts w:ascii="Arial" w:hAnsi="Arial" w:cs="Arial"/>
          <w:sz w:val="24"/>
          <w:szCs w:val="24"/>
          <w:vertAlign w:val="superscript"/>
        </w:rPr>
        <w:t>3</w:t>
      </w:r>
      <w:r w:rsidRPr="0012522D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 июня 2019 г. №796 «Об общих требованиях к оценке налоговых расходов субъектов Российской Федерации и муниципальных образований», Исполнительный комитет муниципального образования «город Бавлы»   </w:t>
      </w:r>
    </w:p>
    <w:p w:rsidR="00381C65" w:rsidRPr="0012522D" w:rsidRDefault="00381C65" w:rsidP="00381C6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                                          ПОСТАНОВЛЯЕТ:</w:t>
      </w:r>
    </w:p>
    <w:p w:rsidR="00381C65" w:rsidRPr="0012522D" w:rsidRDefault="00381C65" w:rsidP="00381C6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                               </w:t>
      </w:r>
    </w:p>
    <w:p w:rsidR="00381C65" w:rsidRPr="0012522D" w:rsidRDefault="00381C65" w:rsidP="00381C65">
      <w:pPr>
        <w:widowControl w:val="0"/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2522D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 Порядок формирования перечня налоговых расходов, и порядок проведения оценки налоговых расходов муниципального образования «город Бавлы»</w:t>
      </w:r>
      <w:r w:rsidRPr="0012522D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381C65" w:rsidRPr="0012522D" w:rsidRDefault="00381C65" w:rsidP="00381C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2. Предложить Управлению Федеральной налоговой службы по Республике Татарстан до 1 сентября направить в исполнительный комитет муниципального образования сведения за отчетный год, за год, предшествующий отчетному году:</w:t>
      </w:r>
    </w:p>
    <w:p w:rsidR="00381C65" w:rsidRPr="0012522D" w:rsidRDefault="00381C65" w:rsidP="00381C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о количестве плательщиков, воспользовавшихся льготами;</w:t>
      </w:r>
    </w:p>
    <w:p w:rsidR="00381C65" w:rsidRPr="0012522D" w:rsidRDefault="00381C65" w:rsidP="00381C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о суммах выпадающих доходов бюджета Муниципального образования «город Бавлы»</w:t>
      </w:r>
    </w:p>
    <w:p w:rsidR="00381C65" w:rsidRPr="0012522D" w:rsidRDefault="00381C65" w:rsidP="00381C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по каждому налоговому расходу муниципального образования «город Бавлы».</w:t>
      </w:r>
    </w:p>
    <w:p w:rsidR="00381C65" w:rsidRPr="0012522D" w:rsidRDefault="00381C65" w:rsidP="00381C65">
      <w:pPr>
        <w:keepNext/>
        <w:keepLines/>
        <w:spacing w:after="0"/>
        <w:ind w:firstLine="708"/>
        <w:jc w:val="both"/>
        <w:outlineLvl w:val="0"/>
        <w:rPr>
          <w:rFonts w:ascii="Arial" w:eastAsiaTheme="majorEastAsia" w:hAnsi="Arial" w:cs="Arial"/>
          <w:sz w:val="24"/>
          <w:szCs w:val="24"/>
        </w:rPr>
      </w:pPr>
      <w:r w:rsidRPr="0012522D">
        <w:rPr>
          <w:rFonts w:ascii="Arial" w:eastAsiaTheme="majorEastAsia" w:hAnsi="Arial" w:cs="Arial"/>
          <w:bCs/>
          <w:sz w:val="24"/>
          <w:szCs w:val="24"/>
        </w:rPr>
        <w:t xml:space="preserve">3.  </w:t>
      </w:r>
      <w:proofErr w:type="gramStart"/>
      <w:r w:rsidRPr="0012522D">
        <w:rPr>
          <w:rFonts w:ascii="Arial" w:eastAsiaTheme="majorEastAsia" w:hAnsi="Arial" w:cs="Arial"/>
          <w:bCs/>
          <w:sz w:val="24"/>
          <w:szCs w:val="24"/>
        </w:rPr>
        <w:t>Контроль за</w:t>
      </w:r>
      <w:proofErr w:type="gramEnd"/>
      <w:r w:rsidRPr="0012522D">
        <w:rPr>
          <w:rFonts w:ascii="Arial" w:eastAsiaTheme="majorEastAsia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381C65" w:rsidRPr="0012522D" w:rsidRDefault="00381C65" w:rsidP="00381C65">
      <w:pPr>
        <w:widowControl w:val="0"/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2522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 Настоящее постановление вступает в силу со дня его официального опубликования. </w:t>
      </w:r>
    </w:p>
    <w:p w:rsidR="0012522D" w:rsidRPr="0012522D" w:rsidRDefault="0012522D" w:rsidP="0012522D">
      <w:pPr>
        <w:widowControl w:val="0"/>
        <w:autoSpaceDE w:val="0"/>
        <w:autoSpaceDN w:val="0"/>
        <w:spacing w:after="0"/>
        <w:ind w:left="708" w:right="4392" w:firstLine="370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1C65" w:rsidRPr="0012522D" w:rsidRDefault="0012522D" w:rsidP="0012522D">
      <w:pPr>
        <w:widowControl w:val="0"/>
        <w:autoSpaceDE w:val="0"/>
        <w:autoSpaceDN w:val="0"/>
        <w:spacing w:after="0" w:line="240" w:lineRule="auto"/>
        <w:ind w:right="-2"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2522D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                                                                                         Д.Л. Бакиров</w:t>
      </w:r>
    </w:p>
    <w:p w:rsidR="00381C65" w:rsidRPr="0012522D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1C65" w:rsidRPr="0012522D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1C65" w:rsidRPr="0012522D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522D" w:rsidRDefault="0012522D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522D" w:rsidRDefault="0012522D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522D" w:rsidRDefault="0012522D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522D" w:rsidRDefault="0012522D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522D" w:rsidRPr="0012522D" w:rsidRDefault="0012522D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1C65" w:rsidRPr="0012522D" w:rsidRDefault="00381C65" w:rsidP="00381C65">
      <w:pPr>
        <w:spacing w:after="0" w:line="240" w:lineRule="auto"/>
        <w:ind w:left="7092" w:firstLine="696"/>
        <w:contextualSpacing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Утвержден </w:t>
      </w:r>
    </w:p>
    <w:p w:rsidR="00381C65" w:rsidRPr="0012522D" w:rsidRDefault="00381C65" w:rsidP="00381C65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lastRenderedPageBreak/>
        <w:t xml:space="preserve">постановлением </w:t>
      </w:r>
    </w:p>
    <w:p w:rsidR="00381C65" w:rsidRPr="0012522D" w:rsidRDefault="00381C65" w:rsidP="00381C65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исполнительного комитета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«город Бавлы»</w:t>
      </w:r>
    </w:p>
    <w:p w:rsidR="00381C65" w:rsidRPr="0012522D" w:rsidRDefault="00381C65" w:rsidP="00381C65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от___________2020г. № ____</w:t>
      </w:r>
    </w:p>
    <w:p w:rsidR="00381C65" w:rsidRPr="0012522D" w:rsidRDefault="00381C65" w:rsidP="00381C65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Порядок</w:t>
      </w:r>
    </w:p>
    <w:p w:rsidR="00381C65" w:rsidRPr="0012522D" w:rsidRDefault="00381C65" w:rsidP="00381C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формирования перечня налоговых расходов и проведения</w:t>
      </w:r>
    </w:p>
    <w:p w:rsidR="00381C65" w:rsidRPr="0012522D" w:rsidRDefault="00381C65" w:rsidP="00381C65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оценки налоговых расходов муниципального образования «город Бавлы» </w:t>
      </w:r>
    </w:p>
    <w:p w:rsidR="00381C65" w:rsidRPr="0012522D" w:rsidRDefault="00381C65" w:rsidP="00381C65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в 2020 году</w:t>
      </w:r>
    </w:p>
    <w:p w:rsidR="00381C65" w:rsidRPr="0012522D" w:rsidRDefault="00381C65" w:rsidP="00381C65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  <w:lang w:val="en-US"/>
        </w:rPr>
        <w:t>I</w:t>
      </w:r>
      <w:r w:rsidRPr="0012522D">
        <w:rPr>
          <w:rFonts w:ascii="Arial" w:hAnsi="Arial" w:cs="Arial"/>
          <w:sz w:val="24"/>
          <w:szCs w:val="24"/>
        </w:rPr>
        <w:t>. Общие положения</w:t>
      </w:r>
    </w:p>
    <w:p w:rsidR="00381C65" w:rsidRPr="0012522D" w:rsidRDefault="00381C65" w:rsidP="00381C65">
      <w:pPr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1. Настоящий Порядок определяет правила формирования перечня налоговых расходов муниципального образования «город Бавлы» и оценки налоговых расходов (далее – Порядок, муниципальное  образование).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2. В настоящем Порядке используются термины и понятия, установленные</w:t>
      </w:r>
      <w:r w:rsidRPr="0012522D">
        <w:rPr>
          <w:rFonts w:ascii="Arial" w:hAnsi="Arial" w:cs="Arial"/>
          <w:i/>
          <w:sz w:val="24"/>
          <w:szCs w:val="24"/>
        </w:rPr>
        <w:t xml:space="preserve"> </w:t>
      </w:r>
      <w:r w:rsidRPr="0012522D">
        <w:rPr>
          <w:rFonts w:ascii="Arial" w:hAnsi="Arial" w:cs="Arial"/>
          <w:sz w:val="24"/>
          <w:szCs w:val="24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12522D">
        <w:rPr>
          <w:rFonts w:ascii="Arial" w:hAnsi="Arial" w:cs="Arial"/>
          <w:sz w:val="24"/>
          <w:szCs w:val="24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формирует перечень налоговых расходов муниципального образования;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осуществляет анализ и обобщение результатов оценки налоговых расходов муниципального образования.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381C65" w:rsidRPr="0012522D" w:rsidRDefault="00381C65" w:rsidP="00381C65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  <w:lang w:val="en-US"/>
        </w:rPr>
        <w:t>II</w:t>
      </w:r>
      <w:r w:rsidRPr="0012522D">
        <w:rPr>
          <w:rFonts w:ascii="Arial" w:hAnsi="Arial" w:cs="Arial"/>
          <w:sz w:val="24"/>
          <w:szCs w:val="24"/>
        </w:rPr>
        <w:t>. Формирование перечня налоговых расходов муниципального образования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12522D">
        <w:rPr>
          <w:rFonts w:ascii="Arial" w:hAnsi="Arial" w:cs="Arial"/>
          <w:sz w:val="24"/>
          <w:szCs w:val="24"/>
        </w:rPr>
        <w:t>отчетному</w:t>
      </w:r>
      <w:proofErr w:type="gramEnd"/>
      <w:r w:rsidRPr="0012522D">
        <w:rPr>
          <w:rFonts w:ascii="Arial" w:hAnsi="Arial" w:cs="Arial"/>
          <w:sz w:val="24"/>
          <w:szCs w:val="24"/>
        </w:rPr>
        <w:t>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12522D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12522D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12522D">
          <w:rPr>
            <w:rFonts w:ascii="Arial" w:hAnsi="Arial" w:cs="Arial"/>
            <w:sz w:val="24"/>
            <w:szCs w:val="24"/>
          </w:rPr>
          <w:t>приложением</w:t>
        </w:r>
      </w:hyperlink>
      <w:r w:rsidRPr="0012522D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</w:t>
      </w:r>
      <w:proofErr w:type="gramStart"/>
      <w:r w:rsidRPr="0012522D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Pr="0012522D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2" w:name="P53"/>
      <w:bookmarkStart w:id="3" w:name="P55"/>
      <w:bookmarkEnd w:id="2"/>
      <w:bookmarkEnd w:id="3"/>
      <w:r w:rsidRPr="0012522D">
        <w:rPr>
          <w:rFonts w:ascii="Arial" w:hAnsi="Arial" w:cs="Arial"/>
          <w:sz w:val="24"/>
          <w:szCs w:val="24"/>
          <w:lang w:val="en-US"/>
        </w:rPr>
        <w:t>III</w:t>
      </w:r>
      <w:r w:rsidRPr="0012522D">
        <w:rPr>
          <w:rFonts w:ascii="Arial" w:hAnsi="Arial" w:cs="Arial"/>
          <w:sz w:val="24"/>
          <w:szCs w:val="24"/>
        </w:rPr>
        <w:t>. Порядок оценки налоговых расходов муниципального образования</w:t>
      </w:r>
    </w:p>
    <w:p w:rsidR="00381C65" w:rsidRPr="0012522D" w:rsidRDefault="00381C65" w:rsidP="00381C6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10. Оценка налоговых расходов осуществляется исполнительным комитетом муниципального образования и включает: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-оценку объемов налоговых расходов муниципального образования;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-оценку эффективности налоговых расходов муниципального образования.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11. Оценка эффективности налоговых расходов муниципального образования включает: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 оценку целесообразности налоговых расходов муниципального образования;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 оценку результативности налоговых расходов муниципального образования.</w:t>
      </w: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12. Критериями целесообразности налоговых расходов муниципального образования являются:</w:t>
      </w: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12522D">
        <w:rPr>
          <w:rFonts w:ascii="Arial" w:hAnsi="Arial" w:cs="Arial"/>
          <w:sz w:val="24"/>
          <w:szCs w:val="24"/>
        </w:rPr>
        <w:t>,</w:t>
      </w:r>
      <w:r w:rsidRPr="0012522D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12522D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12522D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12522D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Pr="0012522D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 xml:space="preserve">15. В целях </w:t>
      </w:r>
      <w:proofErr w:type="gramStart"/>
      <w:r w:rsidRPr="0012522D">
        <w:rPr>
          <w:rFonts w:ascii="Arial" w:eastAsia="Calibri" w:hAnsi="Arial" w:cs="Arial"/>
          <w:sz w:val="24"/>
          <w:szCs w:val="24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12522D">
        <w:rPr>
          <w:rFonts w:ascii="Arial" w:eastAsia="Calibri" w:hAnsi="Arial" w:cs="Arial"/>
          <w:sz w:val="24"/>
          <w:szCs w:val="24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16. </w:t>
      </w:r>
      <w:proofErr w:type="gramStart"/>
      <w:r w:rsidRPr="0012522D">
        <w:rPr>
          <w:rFonts w:ascii="Arial" w:eastAsia="Calibri" w:hAnsi="Arial" w:cs="Arial"/>
          <w:sz w:val="24"/>
          <w:szCs w:val="24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12522D">
        <w:rPr>
          <w:rFonts w:ascii="Arial" w:eastAsia="Calibri" w:hAnsi="Arial" w:cs="Arial"/>
          <w:sz w:val="24"/>
          <w:szCs w:val="24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 xml:space="preserve">В качестве альтернативных </w:t>
      </w:r>
      <w:proofErr w:type="gramStart"/>
      <w:r w:rsidRPr="0012522D">
        <w:rPr>
          <w:rFonts w:ascii="Arial" w:eastAsia="Calibri" w:hAnsi="Arial" w:cs="Arial"/>
          <w:sz w:val="24"/>
          <w:szCs w:val="24"/>
        </w:rPr>
        <w:t>механизмов достижения целей муниципальной программы муниципального образования</w:t>
      </w:r>
      <w:proofErr w:type="gramEnd"/>
      <w:r w:rsidRPr="0012522D">
        <w:rPr>
          <w:rFonts w:ascii="Arial" w:eastAsia="Calibri" w:hAnsi="Arial" w:cs="Arial"/>
          <w:sz w:val="24"/>
          <w:szCs w:val="24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б) предоставление муниципальных гарантий по обязательствам плательщиков, имеющих право на льготы;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12522D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17. Оценка налоговых расходов муниципального образования осуществляется до 1 октября и содержит: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 налоговых расходов;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 альтернативных механизмов их достижения;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381C65" w:rsidRPr="0012522D" w:rsidRDefault="00381C65" w:rsidP="00381C6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12522D" w:rsidRPr="0012522D" w:rsidRDefault="0012522D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Приложение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к Порядку формирования 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перечня налоговых расходов 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и проведения оценки налоговых расходов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 xml:space="preserve">муниципального образования «город Бавлы» 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522D">
        <w:rPr>
          <w:rFonts w:ascii="Arial" w:hAnsi="Arial" w:cs="Arial"/>
          <w:sz w:val="24"/>
          <w:szCs w:val="24"/>
        </w:rPr>
        <w:t>в 2020 году</w:t>
      </w:r>
    </w:p>
    <w:p w:rsidR="00381C65" w:rsidRPr="0012522D" w:rsidRDefault="00381C65" w:rsidP="00381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12522D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12522D">
        <w:rPr>
          <w:rFonts w:ascii="Arial" w:eastAsia="Times New Roman" w:hAnsi="Arial" w:cs="Arial"/>
          <w:spacing w:val="-4"/>
          <w:sz w:val="24"/>
          <w:szCs w:val="24"/>
          <w:lang w:eastAsia="ru-RU"/>
        </w:rPr>
        <w:t>муниципального образования «город Бавлы»</w:t>
      </w:r>
    </w:p>
    <w:p w:rsidR="00381C65" w:rsidRPr="0012522D" w:rsidRDefault="00381C65" w:rsidP="00381C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381C65" w:rsidRPr="0012522D" w:rsidTr="0077762E">
        <w:tc>
          <w:tcPr>
            <w:tcW w:w="6805" w:type="dxa"/>
            <w:gridSpan w:val="2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381C65" w:rsidRPr="0012522D" w:rsidTr="0077762E">
        <w:trPr>
          <w:trHeight w:val="181"/>
        </w:trPr>
        <w:tc>
          <w:tcPr>
            <w:tcW w:w="10065" w:type="dxa"/>
            <w:gridSpan w:val="3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.Нормативные и целевые характеристики налогового расхода</w:t>
            </w:r>
            <w:r w:rsidRPr="0012522D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12522D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rPr>
          <w:trHeight w:val="428"/>
        </w:trPr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rPr>
          <w:trHeight w:val="502"/>
        </w:trPr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12522D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rPr>
          <w:trHeight w:val="656"/>
        </w:trPr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rPr>
          <w:trHeight w:val="292"/>
        </w:trPr>
        <w:tc>
          <w:tcPr>
            <w:tcW w:w="10065" w:type="dxa"/>
            <w:gridSpan w:val="3"/>
          </w:tcPr>
          <w:p w:rsidR="00381C65" w:rsidRPr="0012522D" w:rsidRDefault="00381C65" w:rsidP="00381C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Фискальные</w:t>
            </w:r>
            <w:r w:rsidRPr="00125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  <w:r w:rsidRPr="001252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12522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2D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12522D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 муниципального образования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2D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381C65" w:rsidRPr="0012522D" w:rsidTr="0077762E">
        <w:tc>
          <w:tcPr>
            <w:tcW w:w="568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</w:tcPr>
          <w:p w:rsidR="00381C65" w:rsidRPr="0012522D" w:rsidRDefault="00381C65" w:rsidP="00381C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  <w:r w:rsidRPr="001252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81C65" w:rsidRPr="0012522D" w:rsidRDefault="00381C65" w:rsidP="00381C6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25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муниципального образования </w:t>
            </w:r>
          </w:p>
        </w:tc>
      </w:tr>
    </w:tbl>
    <w:p w:rsidR="00381C65" w:rsidRPr="0012522D" w:rsidRDefault="00381C65" w:rsidP="00381C6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9578A" w:rsidRPr="0012522D" w:rsidRDefault="00E9578A" w:rsidP="00381C6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9578A" w:rsidRPr="0012522D" w:rsidSect="001252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B7" w:rsidRDefault="008520B7" w:rsidP="00FF1A1D">
      <w:pPr>
        <w:spacing w:after="0" w:line="240" w:lineRule="auto"/>
      </w:pPr>
      <w:r>
        <w:separator/>
      </w:r>
    </w:p>
  </w:endnote>
  <w:endnote w:type="continuationSeparator" w:id="0">
    <w:p w:rsidR="008520B7" w:rsidRDefault="008520B7" w:rsidP="00FF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B7" w:rsidRDefault="008520B7" w:rsidP="00FF1A1D">
      <w:pPr>
        <w:spacing w:after="0" w:line="240" w:lineRule="auto"/>
      </w:pPr>
      <w:r>
        <w:separator/>
      </w:r>
    </w:p>
  </w:footnote>
  <w:footnote w:type="continuationSeparator" w:id="0">
    <w:p w:rsidR="008520B7" w:rsidRDefault="008520B7" w:rsidP="00FF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526"/>
    <w:multiLevelType w:val="hybridMultilevel"/>
    <w:tmpl w:val="19A2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96E18"/>
    <w:multiLevelType w:val="hybridMultilevel"/>
    <w:tmpl w:val="AE42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BD"/>
    <w:rsid w:val="0006111E"/>
    <w:rsid w:val="00076B63"/>
    <w:rsid w:val="00090198"/>
    <w:rsid w:val="000D51CF"/>
    <w:rsid w:val="0012522D"/>
    <w:rsid w:val="00167730"/>
    <w:rsid w:val="001A73FE"/>
    <w:rsid w:val="00381C65"/>
    <w:rsid w:val="00385876"/>
    <w:rsid w:val="005B652F"/>
    <w:rsid w:val="006021E6"/>
    <w:rsid w:val="007E5E29"/>
    <w:rsid w:val="007F3CF8"/>
    <w:rsid w:val="00805586"/>
    <w:rsid w:val="008110E0"/>
    <w:rsid w:val="008520B7"/>
    <w:rsid w:val="008A52BB"/>
    <w:rsid w:val="008B382E"/>
    <w:rsid w:val="00965F9F"/>
    <w:rsid w:val="00A308BD"/>
    <w:rsid w:val="00AB3496"/>
    <w:rsid w:val="00C71BBE"/>
    <w:rsid w:val="00DC47E2"/>
    <w:rsid w:val="00E026AD"/>
    <w:rsid w:val="00E12872"/>
    <w:rsid w:val="00E478B5"/>
    <w:rsid w:val="00E50642"/>
    <w:rsid w:val="00E9578A"/>
    <w:rsid w:val="00EE055B"/>
    <w:rsid w:val="00F27743"/>
    <w:rsid w:val="00F92DDC"/>
    <w:rsid w:val="00FB626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A1D"/>
  </w:style>
  <w:style w:type="paragraph" w:styleId="a5">
    <w:name w:val="footer"/>
    <w:basedOn w:val="a"/>
    <w:link w:val="a6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A1D"/>
  </w:style>
  <w:style w:type="paragraph" w:styleId="a7">
    <w:name w:val="List Paragraph"/>
    <w:basedOn w:val="a"/>
    <w:uiPriority w:val="34"/>
    <w:qFormat/>
    <w:rsid w:val="00FF1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7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A1D"/>
  </w:style>
  <w:style w:type="paragraph" w:styleId="a5">
    <w:name w:val="footer"/>
    <w:basedOn w:val="a"/>
    <w:link w:val="a6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A1D"/>
  </w:style>
  <w:style w:type="paragraph" w:styleId="a7">
    <w:name w:val="List Paragraph"/>
    <w:basedOn w:val="a"/>
    <w:uiPriority w:val="34"/>
    <w:qFormat/>
    <w:rsid w:val="00FF1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7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D551-5FDA-4A0E-B9C5-B75A8A7B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 Контроль за исполнением настоящего постановления оставляю за собой.</vt:lpstr>
    </vt:vector>
  </TitlesOfParts>
  <Company>SPecialiST RePack</Company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Таня Алатырева</cp:lastModifiedBy>
  <cp:revision>2</cp:revision>
  <cp:lastPrinted>2020-04-01T11:22:00Z</cp:lastPrinted>
  <dcterms:created xsi:type="dcterms:W3CDTF">2020-06-09T13:43:00Z</dcterms:created>
  <dcterms:modified xsi:type="dcterms:W3CDTF">2020-06-09T13:43:00Z</dcterms:modified>
</cp:coreProperties>
</file>